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682DA">
      <w:pPr>
        <w:rPr>
          <w:rFonts w:hint="eastAsia"/>
        </w:rPr>
      </w:pPr>
    </w:p>
    <w:p w14:paraId="5CFEA6C9">
      <w:pPr>
        <w:rPr>
          <w:rFonts w:hint="eastAsia"/>
        </w:rPr>
      </w:pPr>
    </w:p>
    <w:p w14:paraId="01182563">
      <w:pPr>
        <w:rPr>
          <w:rFonts w:hint="eastAsia"/>
        </w:rPr>
      </w:pPr>
      <w:r>
        <w:rPr>
          <w:rFonts w:hint="eastAsia" w:ascii="宋体" w:hAnsi="宋体" w:eastAsia="宋体" w:cs="宋体"/>
          <w:b/>
          <w:bCs/>
          <w:sz w:val="32"/>
          <w:szCs w:val="32"/>
        </w:rPr>
        <mc:AlternateContent>
          <mc:Choice Requires="wps">
            <w:drawing>
              <wp:anchor distT="0" distB="0" distL="114300" distR="114300" simplePos="0" relativeHeight="251661312" behindDoc="1" locked="1" layoutInCell="1" allowOverlap="0">
                <wp:simplePos x="0" y="0"/>
                <wp:positionH relativeFrom="column">
                  <wp:posOffset>85725</wp:posOffset>
                </wp:positionH>
                <wp:positionV relativeFrom="page">
                  <wp:posOffset>2097405</wp:posOffset>
                </wp:positionV>
                <wp:extent cx="5372100" cy="0"/>
                <wp:effectExtent l="0" t="13970" r="0" b="24130"/>
                <wp:wrapSquare wrapText="bothSides"/>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28575">
                          <a:solidFill>
                            <a:srgbClr val="FF0000"/>
                          </a:solidFill>
                          <a:round/>
                        </a:ln>
                        <a:effectLst/>
                      </wps:spPr>
                      <wps:bodyPr/>
                    </wps:wsp>
                  </a:graphicData>
                </a:graphic>
              </wp:anchor>
            </w:drawing>
          </mc:Choice>
          <mc:Fallback>
            <w:pict>
              <v:line id="_x0000_s1026" o:spid="_x0000_s1026" o:spt="20" style="position:absolute;left:0pt;margin-left:6.75pt;margin-top:165.15pt;height:0pt;width:423pt;mso-position-vertical-relative:page;mso-wrap-distance-bottom:0pt;mso-wrap-distance-left:9pt;mso-wrap-distance-right:9pt;mso-wrap-distance-top:0pt;z-index:-251655168;mso-width-relative:page;mso-height-relative:page;" filled="f" stroked="t" coordsize="21600,21600" o:allowoverlap="f" o:gfxdata="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B&#10;M2LWAAAACgEAAA8AAAAAAAAAAQAgAAAAIgAAAGRycy9kb3ducmV2LnhtbFBLAQIUABQAAAAIAIdO&#10;4kDc35mI7AEAALkDAAAOAAAAAAAAAAEAIAAAACUBAABkcnMvZTJvRG9jLnhtbFBLBQYAAAAABgAG&#10;AFkBAACDBQAAAAA=&#10;">
                <v:fill on="f" focussize="0,0"/>
                <v:stroke weight="2.25pt" color="#FF0000" joinstyle="round"/>
                <v:imagedata o:title=""/>
                <o:lock v:ext="edit" aspectratio="f"/>
                <w10:wrap type="square"/>
                <w10:anchorlock/>
              </v:line>
            </w:pict>
          </mc:Fallback>
        </mc:AlternateContent>
      </w:r>
      <w:r>
        <w:rPr>
          <w:rFonts w:hint="eastAsia" w:ascii="宋体" w:hAnsi="宋体" w:eastAsia="宋体" w:cs="宋体"/>
          <w:sz w:val="28"/>
          <w:szCs w:val="28"/>
        </w:rPr>
        <w:pict>
          <v:shape id="_x0000_s1029" o:spid="_x0000_s1029" o:spt="136" type="#_x0000_t136" style="position:absolute;left:0pt;margin-left:34.3pt;margin-top:80.25pt;height:70.85pt;width:366pt;mso-position-vertical-relative:page;mso-wrap-distance-left:9pt;mso-wrap-distance-right:9pt;z-index:-251657216;mso-width-relative:page;mso-height-relative:page;" fillcolor="#FF0000" filled="t" stroked="t" coordsize="21600,21600" wrapcoords="13424 18 13424 48 854 50 835 266 820 1755 803 3109 185 3111 371 3644 793 3646 744 5953 253 5955 438 6488 734 6490 720 7183 698 7844 674 8472 645 8975 67 8977 253 9600 624 9602 605 10169 577 10720 548 11255 518 11772 487 12271 455 12754 422 13219 388 13666 352 14096 316 14509 278 14905 240 15283 200 15644 160 15987 118 16313 65 16716 56 16938 101 17155 454 17157 454 17172 320 17422 305 17622 312 17866 345 18577 447 19644 747 19646 770 19705 803 19915 831 20155 863 20573 879 20889 890 21237 971 21511 5052 21513 5049 21539 7405 21541 7417 21600 7433 21600 7433 21601 19524 21599 19620 21100 19675 20837 21422 20835 21439 20618 21439 20248 21443 19898 21452 19568 21465 19257 21481 18965 21502 18693 21528 18441 21557 18208 21563 17978 21540 17761 21501 17424 21444 16936 21445 16866 21521 12050 21529 11535 21530 11478 21530 11385 21531 11373 21531 11367 21547 11158 21559 10911 21566 10645 21568 10359 21565 10053 21557 9728 21527 9726 21544 9399 21527 9079 21509 8768 21488 8468 21465 8177 21440 7896 21412 7625 21382 7363 21350 7111 21315 6869 21279 6637 21239 6415 21198 6202 21154 5999 21043 5801 20772 5799 20992 4730 20992 1428 21032 1227 21051 981 21051 624 20973 384 20756 89 14367 87 14341 40 13457 38 13440 18 13424 18" o:allowoverlap="f" adj="10800">
            <v:path/>
            <v:fill on="t" color2="#FFFFFF" focussize="0,0"/>
            <v:stroke weight="1pt" color="#FF0000"/>
            <v:imagedata o:title=""/>
            <o:lock v:ext="edit" aspectratio="f"/>
            <v:textpath on="t" fitshape="t" fitpath="t" trim="t" xscale="f" string="泰山学院教务处" style="font-family:方正小标宋简体;font-size:80pt;v-same-letter-heights:t;v-text-align:center;v-text-spacing:98304f;"/>
            <w10:wrap type="tight"/>
            <w10:anchorlock/>
          </v:shape>
        </w:pict>
      </w:r>
    </w:p>
    <w:p w14:paraId="0D144F8B">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开展202</w:t>
      </w:r>
      <w:r>
        <w:rPr>
          <w:rFonts w:hint="eastAsia" w:ascii="方正小标宋简体" w:eastAsia="方正小标宋简体"/>
          <w:sz w:val="44"/>
          <w:szCs w:val="44"/>
          <w:lang w:val="en-US" w:eastAsia="zh-CN"/>
        </w:rPr>
        <w:t>4</w:t>
      </w:r>
      <w:r>
        <w:rPr>
          <w:rFonts w:hint="eastAsia" w:ascii="方正小标宋简体" w:eastAsia="方正小标宋简体"/>
          <w:sz w:val="44"/>
          <w:szCs w:val="44"/>
          <w:lang w:eastAsia="zh-CN"/>
        </w:rPr>
        <w:t>年度校企合作专业考核的通知</w:t>
      </w:r>
    </w:p>
    <w:p w14:paraId="6A17BB3A">
      <w:pPr>
        <w:spacing w:line="560" w:lineRule="exact"/>
        <w:rPr>
          <w:rFonts w:hint="eastAsia" w:eastAsia="仿宋_GB2312"/>
          <w:lang w:eastAsia="zh-CN"/>
        </w:rPr>
      </w:pPr>
    </w:p>
    <w:p w14:paraId="6799AF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各</w:t>
      </w:r>
      <w:r>
        <w:rPr>
          <w:rFonts w:hint="eastAsia"/>
          <w:lang w:val="en-US" w:eastAsia="zh-CN"/>
        </w:rPr>
        <w:t>二级学院</w:t>
      </w:r>
      <w:r>
        <w:rPr>
          <w:rFonts w:hint="eastAsia"/>
        </w:rPr>
        <w:t>：</w:t>
      </w:r>
    </w:p>
    <w:p w14:paraId="69EEA7D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rPr>
      </w:pPr>
      <w:r>
        <w:rPr>
          <w:rFonts w:hint="eastAsia" w:ascii="仿宋_GB2312" w:hAnsi="仿宋_GB2312"/>
        </w:rPr>
        <w:t>为规范校企合作办学，促进产教融合内涵发展，不断提升我校校企合作专业办学质量和应用型人才培养能力，根据《泰山学院校企合作专业管理办法（修订）》（附件1）要求，拟对我校已签协议的校企合作专业进行履约情况绩效考核，现将开展校企合作考核通知如下。</w:t>
      </w:r>
    </w:p>
    <w:p w14:paraId="545B55B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32" w:firstLineChars="200"/>
        <w:textAlignment w:val="auto"/>
        <w:rPr>
          <w:rFonts w:hint="eastAsia" w:ascii="黑体" w:hAnsi="仿宋_GB2312" w:eastAsia="黑体"/>
          <w:color w:val="auto"/>
          <w:lang w:eastAsia="zh-CN"/>
        </w:rPr>
      </w:pPr>
      <w:r>
        <w:rPr>
          <w:rFonts w:hint="eastAsia" w:ascii="黑体" w:hAnsi="仿宋_GB2312" w:eastAsia="黑体"/>
          <w:color w:val="auto"/>
          <w:lang w:eastAsia="zh-CN"/>
        </w:rPr>
        <w:t>考核目的</w:t>
      </w:r>
    </w:p>
    <w:p w14:paraId="2767BF4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rPr>
      </w:pPr>
      <w:r>
        <w:rPr>
          <w:rFonts w:hint="eastAsia" w:ascii="仿宋_GB2312" w:hAnsi="仿宋_GB2312"/>
        </w:rPr>
        <w:t>进一步规范校企合作专业办学行为，创新合作模式，提升合作层次，丰富合作内涵，打造合作特色，提高合作成效，实现专业与企业高质量发展。</w:t>
      </w:r>
      <w:bookmarkStart w:id="0" w:name="_GoBack"/>
      <w:bookmarkEnd w:id="0"/>
    </w:p>
    <w:p w14:paraId="559251D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32" w:firstLineChars="200"/>
        <w:textAlignment w:val="auto"/>
        <w:rPr>
          <w:rFonts w:hint="eastAsia" w:ascii="黑体" w:hAnsi="仿宋_GB2312" w:eastAsia="黑体"/>
          <w:color w:val="auto"/>
          <w:lang w:eastAsia="zh-CN"/>
        </w:rPr>
      </w:pPr>
      <w:r>
        <w:rPr>
          <w:rFonts w:hint="eastAsia" w:ascii="黑体" w:hAnsi="仿宋_GB2312" w:eastAsia="黑体"/>
          <w:color w:val="auto"/>
          <w:lang w:eastAsia="zh-CN"/>
        </w:rPr>
        <w:t>考核范围</w:t>
      </w:r>
    </w:p>
    <w:p w14:paraId="25D128B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202</w:t>
      </w:r>
      <w:r>
        <w:rPr>
          <w:rFonts w:hint="eastAsia" w:ascii="仿宋_GB2312" w:hAnsi="仿宋_GB2312"/>
          <w:lang w:val="en-US" w:eastAsia="zh-CN"/>
        </w:rPr>
        <w:t>4</w:t>
      </w:r>
      <w:r>
        <w:rPr>
          <w:rFonts w:hint="eastAsia" w:ascii="仿宋_GB2312" w:hAnsi="仿宋_GB2312"/>
          <w:lang w:eastAsia="zh-CN"/>
        </w:rPr>
        <w:t>年所有有在校生的校企合作专业。</w:t>
      </w:r>
    </w:p>
    <w:p w14:paraId="2E727D0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32" w:firstLineChars="200"/>
        <w:textAlignment w:val="auto"/>
        <w:rPr>
          <w:rFonts w:hint="eastAsia" w:ascii="黑体" w:hAnsi="仿宋_GB2312" w:eastAsia="黑体"/>
          <w:color w:val="auto"/>
          <w:lang w:eastAsia="zh-CN"/>
        </w:rPr>
      </w:pPr>
      <w:r>
        <w:rPr>
          <w:rFonts w:hint="eastAsia" w:ascii="黑体" w:hAnsi="仿宋_GB2312" w:eastAsia="黑体"/>
          <w:color w:val="auto"/>
          <w:lang w:eastAsia="zh-CN"/>
        </w:rPr>
        <w:t>上交材料</w:t>
      </w:r>
    </w:p>
    <w:p w14:paraId="1387058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val="en-US" w:eastAsia="zh-CN"/>
        </w:rPr>
        <w:t>1</w:t>
      </w:r>
      <w:r>
        <w:rPr>
          <w:rFonts w:hint="eastAsia" w:ascii="仿宋_GB2312" w:hAnsi="仿宋_GB2312"/>
          <w:lang w:eastAsia="zh-CN"/>
        </w:rPr>
        <w:t>.年度绩效报告：各学院请以专业为单位撰写年度绩效评价报告，每个专业撰写一份报告。报告中要包含202</w:t>
      </w:r>
      <w:r>
        <w:rPr>
          <w:rFonts w:hint="eastAsia" w:ascii="仿宋_GB2312" w:hAnsi="仿宋_GB2312"/>
          <w:lang w:val="en-US" w:eastAsia="zh-CN"/>
        </w:rPr>
        <w:t>4</w:t>
      </w:r>
      <w:r>
        <w:rPr>
          <w:rFonts w:hint="eastAsia" w:ascii="仿宋_GB2312" w:hAnsi="仿宋_GB2312"/>
          <w:lang w:eastAsia="zh-CN"/>
        </w:rPr>
        <w:t>年各合作企业的绩效情况和各合作专业的绩效情况。自评报告要求语言精练，尽量以数字说话，报告字数控制在2000字以内。绩效报告模板和绩效指标，请参考附件</w:t>
      </w:r>
      <w:r>
        <w:rPr>
          <w:rFonts w:hint="eastAsia" w:ascii="仿宋_GB2312" w:hAnsi="仿宋_GB2312"/>
          <w:lang w:val="en-US" w:eastAsia="zh-CN"/>
        </w:rPr>
        <w:t>2</w:t>
      </w:r>
      <w:r>
        <w:rPr>
          <w:rFonts w:hint="eastAsia" w:ascii="仿宋_GB2312" w:hAnsi="仿宋_GB2312"/>
          <w:lang w:eastAsia="zh-CN"/>
        </w:rPr>
        <w:t>。</w:t>
      </w:r>
    </w:p>
    <w:p w14:paraId="31B193B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val="en-US" w:eastAsia="zh-CN"/>
        </w:rPr>
        <w:t>2</w:t>
      </w:r>
      <w:r>
        <w:rPr>
          <w:rFonts w:hint="eastAsia" w:ascii="仿宋_GB2312" w:hAnsi="仿宋_GB2312"/>
          <w:lang w:eastAsia="zh-CN"/>
        </w:rPr>
        <w:t>.绩效自评表及证明材料</w:t>
      </w:r>
    </w:p>
    <w:p w14:paraId="110B087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请对照《泰山学院校企合作专业管理办法（修订）》评分标准，客观、真实的填写加分选项，并提供证明材料。填写模板请参考附件</w:t>
      </w:r>
      <w:r>
        <w:rPr>
          <w:rFonts w:hint="eastAsia" w:ascii="仿宋_GB2312" w:hAnsi="仿宋_GB2312"/>
          <w:lang w:val="en-US" w:eastAsia="zh-CN"/>
        </w:rPr>
        <w:t>3</w:t>
      </w:r>
      <w:r>
        <w:rPr>
          <w:rFonts w:hint="eastAsia" w:ascii="仿宋_GB2312" w:hAnsi="仿宋_GB2312"/>
          <w:lang w:eastAsia="zh-CN"/>
        </w:rPr>
        <w:t>，绩效自评证明材料格式请参考附件</w:t>
      </w:r>
      <w:r>
        <w:rPr>
          <w:rFonts w:hint="eastAsia" w:ascii="仿宋_GB2312" w:hAnsi="仿宋_GB2312"/>
          <w:lang w:val="en-US" w:eastAsia="zh-CN"/>
        </w:rPr>
        <w:t>4</w:t>
      </w:r>
      <w:r>
        <w:rPr>
          <w:rFonts w:hint="eastAsia" w:ascii="仿宋_GB2312" w:hAnsi="仿宋_GB2312"/>
          <w:lang w:eastAsia="zh-CN"/>
        </w:rPr>
        <w:t>。</w:t>
      </w:r>
    </w:p>
    <w:p w14:paraId="3486F7C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val="en-US" w:eastAsia="zh-CN"/>
        </w:rPr>
        <w:t>3</w:t>
      </w:r>
      <w:r>
        <w:rPr>
          <w:rFonts w:hint="eastAsia" w:ascii="仿宋_GB2312" w:hAnsi="仿宋_GB2312"/>
          <w:lang w:eastAsia="zh-CN"/>
        </w:rPr>
        <w:t>.校企合作办学协议、企业营业执照等其他佐证材料（上一年度审计报告、实习实训基地证明，社保缴费证明、师资证明等）。</w:t>
      </w:r>
    </w:p>
    <w:p w14:paraId="722157D2">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学校将对考核材料进行初审，根据审核情况组织专家评分，具体事宜另行通知。</w:t>
      </w:r>
    </w:p>
    <w:p w14:paraId="6147DAC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32" w:firstLineChars="200"/>
        <w:textAlignment w:val="auto"/>
        <w:rPr>
          <w:rFonts w:hint="eastAsia" w:ascii="黑体" w:hAnsi="仿宋_GB2312" w:eastAsia="黑体"/>
          <w:color w:val="auto"/>
          <w:lang w:eastAsia="zh-CN"/>
        </w:rPr>
      </w:pPr>
      <w:r>
        <w:rPr>
          <w:rFonts w:hint="eastAsia" w:ascii="黑体" w:hAnsi="仿宋_GB2312" w:eastAsia="黑体"/>
          <w:color w:val="auto"/>
          <w:lang w:eastAsia="zh-CN"/>
        </w:rPr>
        <w:t>报送时间</w:t>
      </w:r>
    </w:p>
    <w:p w14:paraId="3610B7E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lang w:val="en-US" w:eastAsia="zh-CN"/>
        </w:rPr>
      </w:pPr>
      <w:r>
        <w:rPr>
          <w:rFonts w:hint="eastAsia" w:ascii="仿宋_GB2312" w:hAnsi="仿宋_GB2312"/>
          <w:lang w:eastAsia="zh-CN"/>
        </w:rPr>
        <w:t>纸质申报材料（包括绩效报告、自评表及支撑材料、办学协议、营业执照等），装订成册，由学院负责人签字盖章后一式一份于202</w:t>
      </w:r>
      <w:r>
        <w:rPr>
          <w:rFonts w:hint="eastAsia" w:ascii="仿宋_GB2312" w:hAnsi="仿宋_GB2312"/>
          <w:lang w:val="en-US" w:eastAsia="zh-CN"/>
        </w:rPr>
        <w:t>5</w:t>
      </w:r>
      <w:r>
        <w:rPr>
          <w:rFonts w:hint="eastAsia" w:ascii="仿宋_GB2312" w:hAnsi="仿宋_GB2312"/>
          <w:lang w:eastAsia="zh-CN"/>
        </w:rPr>
        <w:t>年3月</w:t>
      </w:r>
      <w:r>
        <w:rPr>
          <w:rFonts w:hint="eastAsia" w:ascii="仿宋_GB2312" w:hAnsi="仿宋_GB2312"/>
          <w:lang w:val="en-US" w:eastAsia="zh-CN"/>
        </w:rPr>
        <w:t>11</w:t>
      </w:r>
      <w:r>
        <w:rPr>
          <w:rFonts w:hint="eastAsia" w:ascii="仿宋_GB2312" w:hAnsi="仿宋_GB2312"/>
          <w:lang w:eastAsia="zh-CN"/>
        </w:rPr>
        <w:t>日下午16点之前，交教务处A221。电子版材料发送邮箱</w:t>
      </w:r>
      <w:r>
        <w:rPr>
          <w:rFonts w:hint="eastAsia" w:ascii="仿宋_GB2312" w:hAnsi="仿宋_GB2312"/>
          <w:lang w:val="en-US" w:eastAsia="zh-CN"/>
        </w:rPr>
        <w:t>zyjsyjxyj</w:t>
      </w:r>
      <w:r>
        <w:rPr>
          <w:rFonts w:hint="eastAsia" w:ascii="仿宋_GB2312" w:hAnsi="仿宋_GB2312"/>
          <w:lang w:eastAsia="zh-CN"/>
        </w:rPr>
        <w:t>@</w:t>
      </w:r>
      <w:r>
        <w:rPr>
          <w:rFonts w:hint="eastAsia" w:ascii="仿宋_GB2312" w:hAnsi="仿宋_GB2312"/>
          <w:lang w:val="en-US" w:eastAsia="zh-CN"/>
        </w:rPr>
        <w:t>tsu.edu.cn.</w:t>
      </w:r>
    </w:p>
    <w:p w14:paraId="686606A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 xml:space="preserve">联系人及电话：曹老师  6715596 </w:t>
      </w:r>
    </w:p>
    <w:p w14:paraId="37A69B3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p>
    <w:p w14:paraId="1BB4B84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 xml:space="preserve">              </w:t>
      </w:r>
    </w:p>
    <w:p w14:paraId="7FE69C7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lang w:eastAsia="zh-CN"/>
        </w:rPr>
      </w:pPr>
      <w:r>
        <w:rPr>
          <w:rFonts w:hint="eastAsia" w:ascii="仿宋_GB2312" w:hAnsi="仿宋_GB2312"/>
          <w:lang w:eastAsia="zh-CN"/>
        </w:rPr>
        <w:t>附件：1.泰山学院校企合作专业管理办法（修订）</w:t>
      </w:r>
    </w:p>
    <w:p w14:paraId="411DC191">
      <w:pPr>
        <w:keepNext w:val="0"/>
        <w:keepLines w:val="0"/>
        <w:pageBreakBefore w:val="0"/>
        <w:widowControl w:val="0"/>
        <w:kinsoku/>
        <w:wordWrap/>
        <w:overflowPunct/>
        <w:topLinePunct w:val="0"/>
        <w:autoSpaceDE/>
        <w:autoSpaceDN/>
        <w:bidi w:val="0"/>
        <w:adjustRightInd/>
        <w:snapToGrid/>
        <w:spacing w:line="560" w:lineRule="exact"/>
        <w:ind w:left="1896" w:leftChars="500" w:hanging="316" w:hangingChars="100"/>
        <w:textAlignment w:val="auto"/>
        <w:rPr>
          <w:rFonts w:hint="eastAsia" w:ascii="仿宋_GB2312" w:hAnsi="仿宋_GB2312"/>
          <w:lang w:eastAsia="zh-CN"/>
        </w:rPr>
      </w:pPr>
      <w:r>
        <w:rPr>
          <w:rFonts w:hint="eastAsia" w:ascii="仿宋_GB2312" w:hAnsi="仿宋_GB2312"/>
          <w:lang w:val="en-US" w:eastAsia="zh-CN"/>
        </w:rPr>
        <w:t>2</w:t>
      </w:r>
      <w:r>
        <w:rPr>
          <w:rFonts w:hint="eastAsia" w:ascii="仿宋_GB2312" w:hAnsi="仿宋_GB2312"/>
          <w:lang w:eastAsia="zh-CN"/>
        </w:rPr>
        <w:t>.泰山学院校企合作专业绩效评价报告模板及参考指标</w:t>
      </w:r>
    </w:p>
    <w:p w14:paraId="02C35D6E">
      <w:pPr>
        <w:keepNext w:val="0"/>
        <w:keepLines w:val="0"/>
        <w:pageBreakBefore w:val="0"/>
        <w:widowControl w:val="0"/>
        <w:kinsoku/>
        <w:wordWrap/>
        <w:overflowPunct/>
        <w:topLinePunct w:val="0"/>
        <w:autoSpaceDE/>
        <w:autoSpaceDN/>
        <w:bidi w:val="0"/>
        <w:adjustRightInd/>
        <w:snapToGrid/>
        <w:spacing w:line="560" w:lineRule="exact"/>
        <w:ind w:firstLine="1580" w:firstLineChars="500"/>
        <w:textAlignment w:val="auto"/>
        <w:rPr>
          <w:rFonts w:hint="eastAsia" w:ascii="仿宋_GB2312" w:hAnsi="仿宋_GB2312"/>
          <w:lang w:eastAsia="zh-CN"/>
        </w:rPr>
      </w:pPr>
      <w:r>
        <w:rPr>
          <w:rFonts w:hint="eastAsia" w:ascii="仿宋_GB2312" w:hAnsi="仿宋_GB2312"/>
          <w:lang w:val="en-US" w:eastAsia="zh-CN"/>
        </w:rPr>
        <w:t>3</w:t>
      </w:r>
      <w:r>
        <w:rPr>
          <w:rFonts w:hint="eastAsia" w:ascii="仿宋_GB2312" w:hAnsi="仿宋_GB2312"/>
          <w:lang w:eastAsia="zh-CN"/>
        </w:rPr>
        <w:t>.泰山学院校企合作专业绩效自评表</w:t>
      </w:r>
    </w:p>
    <w:p w14:paraId="3E39EBF7">
      <w:pPr>
        <w:keepNext w:val="0"/>
        <w:keepLines w:val="0"/>
        <w:pageBreakBefore w:val="0"/>
        <w:widowControl w:val="0"/>
        <w:kinsoku/>
        <w:wordWrap/>
        <w:overflowPunct/>
        <w:topLinePunct w:val="0"/>
        <w:autoSpaceDE/>
        <w:autoSpaceDN/>
        <w:bidi w:val="0"/>
        <w:adjustRightInd/>
        <w:snapToGrid/>
        <w:spacing w:line="560" w:lineRule="exact"/>
        <w:ind w:firstLine="1580" w:firstLineChars="500"/>
        <w:textAlignment w:val="auto"/>
        <w:rPr>
          <w:rFonts w:hint="eastAsia" w:ascii="仿宋_GB2312" w:hAnsi="仿宋_GB2312"/>
        </w:rPr>
      </w:pPr>
      <w:r>
        <w:rPr>
          <w:rFonts w:hint="eastAsia" w:ascii="仿宋_GB2312" w:hAnsi="仿宋_GB2312"/>
          <w:lang w:val="en-US" w:eastAsia="zh-CN"/>
        </w:rPr>
        <w:t>4</w:t>
      </w:r>
      <w:r>
        <w:rPr>
          <w:rFonts w:hint="eastAsia" w:ascii="仿宋_GB2312" w:hAnsi="仿宋_GB2312"/>
          <w:lang w:eastAsia="zh-CN"/>
        </w:rPr>
        <w:t>.泰山学院校企合作专业绩效自评证明材料</w:t>
      </w:r>
    </w:p>
    <w:p w14:paraId="79D776E5">
      <w:pPr>
        <w:spacing w:line="560" w:lineRule="exact"/>
        <w:jc w:val="both"/>
        <w:rPr>
          <w:rFonts w:hint="eastAsia" w:ascii="仿宋_GB2312" w:hAnsi="仿宋_GB2312"/>
          <w:spacing w:val="15"/>
          <w:lang w:val="en-US" w:eastAsia="zh-CN"/>
        </w:rPr>
      </w:pPr>
      <w:r>
        <w:rPr>
          <w:rFonts w:hint="eastAsia" w:ascii="仿宋_GB2312" w:hAnsi="仿宋_GB2312"/>
          <w:spacing w:val="15"/>
        </w:rPr>
        <w:t xml:space="preserve">                               </w:t>
      </w:r>
      <w:r>
        <w:rPr>
          <w:rFonts w:hint="eastAsia" w:ascii="仿宋_GB2312" w:hAnsi="仿宋_GB2312"/>
          <w:spacing w:val="15"/>
          <w:lang w:val="en-US" w:eastAsia="zh-CN"/>
        </w:rPr>
        <w:t xml:space="preserve">  </w:t>
      </w:r>
    </w:p>
    <w:p w14:paraId="0797565B">
      <w:pPr>
        <w:spacing w:line="560" w:lineRule="exact"/>
        <w:ind w:firstLine="6574" w:firstLineChars="1900"/>
        <w:jc w:val="both"/>
        <w:rPr>
          <w:rFonts w:hint="eastAsia" w:ascii="仿宋_GB2312" w:hAnsi="仿宋_GB2312" w:eastAsia="仿宋_GB2312"/>
          <w:spacing w:val="15"/>
          <w:lang w:eastAsia="zh-CN"/>
        </w:rPr>
      </w:pPr>
      <w:r>
        <w:rPr>
          <w:rFonts w:hint="eastAsia" w:ascii="仿宋_GB2312" w:hAnsi="仿宋_GB2312"/>
          <w:spacing w:val="15"/>
          <w:lang w:val="en-US" w:eastAsia="zh-CN"/>
        </w:rPr>
        <w:t>教务处</w:t>
      </w:r>
    </w:p>
    <w:p w14:paraId="79C36A64">
      <w:pPr>
        <w:spacing w:line="560" w:lineRule="exact"/>
        <w:jc w:val="both"/>
        <w:rPr>
          <w:rFonts w:hint="eastAsia" w:ascii="仿宋_GB2312" w:hAnsi="仿宋_GB2312"/>
          <w:spacing w:val="15"/>
        </w:rPr>
      </w:pPr>
      <w:r>
        <w:rPr>
          <w:rFonts w:hint="eastAsia" w:ascii="仿宋_GB2312" w:hAnsi="仿宋_GB2312"/>
          <w:spacing w:val="15"/>
        </w:rPr>
        <w:t xml:space="preserve">                              20</w:t>
      </w:r>
      <w:r>
        <w:rPr>
          <w:rFonts w:hint="eastAsia" w:ascii="仿宋_GB2312" w:hAnsi="仿宋_GB2312"/>
          <w:spacing w:val="15"/>
          <w:lang w:val="en-US" w:eastAsia="zh-CN"/>
        </w:rPr>
        <w:t>25</w:t>
      </w:r>
      <w:r>
        <w:rPr>
          <w:rFonts w:hint="eastAsia" w:ascii="仿宋_GB2312" w:hAnsi="仿宋_GB2312"/>
          <w:spacing w:val="15"/>
        </w:rPr>
        <w:t>年</w:t>
      </w:r>
      <w:r>
        <w:rPr>
          <w:rFonts w:hint="eastAsia" w:ascii="仿宋_GB2312" w:hAnsi="仿宋_GB2312"/>
          <w:spacing w:val="15"/>
          <w:lang w:val="en-US" w:eastAsia="zh-CN"/>
        </w:rPr>
        <w:t>2</w:t>
      </w:r>
      <w:r>
        <w:rPr>
          <w:rFonts w:hint="eastAsia" w:ascii="仿宋_GB2312" w:hAnsi="仿宋_GB2312"/>
          <w:spacing w:val="15"/>
        </w:rPr>
        <w:t>月</w:t>
      </w:r>
      <w:r>
        <w:rPr>
          <w:rFonts w:hint="eastAsia" w:ascii="仿宋_GB2312" w:hAnsi="仿宋_GB2312"/>
          <w:spacing w:val="15"/>
          <w:lang w:val="en-US" w:eastAsia="zh-CN"/>
        </w:rPr>
        <w:t>17</w:t>
      </w:r>
      <w:r>
        <w:rPr>
          <w:rFonts w:hint="eastAsia" w:ascii="仿宋_GB2312" w:hAnsi="仿宋_GB2312"/>
          <w:spacing w:val="15"/>
        </w:rPr>
        <w:t>日</w:t>
      </w:r>
    </w:p>
    <w:p w14:paraId="43487AFF">
      <w:pPr>
        <w:spacing w:line="560" w:lineRule="exact"/>
        <w:jc w:val="left"/>
        <w:rPr>
          <w:rFonts w:hint="eastAsia" w:ascii="仿宋_GB2312" w:hAnsi="仿宋_GB2312"/>
          <w:spacing w:val="15"/>
        </w:rPr>
      </w:pPr>
    </w:p>
    <w:p w14:paraId="07FBCDC7">
      <w:pPr>
        <w:jc w:val="center"/>
        <w:rPr>
          <w:rFonts w:hint="eastAsia"/>
        </w:rPr>
      </w:pPr>
    </w:p>
    <w:p w14:paraId="10FD1860">
      <w:pPr>
        <w:jc w:val="center"/>
        <w:rPr>
          <w:rFonts w:hint="eastAsia"/>
        </w:rPr>
      </w:pPr>
    </w:p>
    <w:p w14:paraId="725F69DA">
      <w:pPr>
        <w:jc w:val="center"/>
        <w:rPr>
          <w:rFonts w:hint="eastAsia"/>
        </w:rPr>
      </w:pPr>
    </w:p>
    <w:p w14:paraId="213579AF"/>
    <w:sectPr>
      <w:headerReference r:id="rId3" w:type="even"/>
      <w:footerReference r:id="rId4" w:type="even"/>
      <w:pgSz w:w="11906" w:h="16838"/>
      <w:pgMar w:top="2098" w:right="1474" w:bottom="1984" w:left="1588" w:header="851" w:footer="992" w:gutter="0"/>
      <w:pgNumType w:fmt="numberInDash"/>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C5D3">
    <w:pPr>
      <w:pStyle w:val="2"/>
      <w:rPr>
        <w:rStyle w:val="5"/>
        <w:rFonts w:hint="eastAsia"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FE255E">
                          <w:pPr>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ind w:left="640" w:leftChars="20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3FE255E">
                    <w:pPr>
                      <w:keepNext w:val="0"/>
                      <w:keepLines w:val="0"/>
                      <w:pageBreakBefore w:val="0"/>
                      <w:widowControl w:val="0"/>
                      <w:kinsoku/>
                      <w:wordWrap/>
                      <w:overflowPunct/>
                      <w:topLinePunct w:val="0"/>
                      <w:autoSpaceDE/>
                      <w:autoSpaceDN/>
                      <w:bidi w:val="0"/>
                      <w:adjustRightInd/>
                      <w:snapToGrid w:val="0"/>
                      <w:spacing w:before="0" w:beforeLines="0" w:after="0" w:afterLines="0" w:line="240" w:lineRule="auto"/>
                      <w:ind w:left="640" w:leftChars="20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v:textbox>
            </v:shape>
          </w:pict>
        </mc:Fallback>
      </mc:AlternateContent>
    </w:r>
  </w:p>
  <w:p w14:paraId="17F78F34">
    <w:pPr>
      <w:pStyle w:val="2"/>
      <w:framePr w:wrap="around" w:vAnchor="text" w:hAnchor="margin" w:xAlign="outside" w:y="1"/>
      <w:ind w:right="360" w:firstLine="360"/>
      <w:rPr>
        <w:rStyle w:val="5"/>
        <w:rFonts w:hint="eastAsia" w:ascii="仿宋_GB2312"/>
        <w:sz w:val="28"/>
        <w:szCs w:val="28"/>
      </w:rPr>
    </w:pPr>
    <w:r>
      <w:rPr>
        <w:rStyle w:val="5"/>
        <w:rFonts w:hint="eastAsia" w:ascii="仿宋_GB2312"/>
        <w:sz w:val="28"/>
        <w:szCs w:val="28"/>
      </w:rPr>
      <w:t xml:space="preserve">                                                                                                                       </w:t>
    </w:r>
  </w:p>
  <w:p w14:paraId="79EE9797">
    <w:pPr>
      <w:pStyle w:val="2"/>
      <w:ind w:right="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FC7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42FD64"/>
    <w:multiLevelType w:val="singleLevel"/>
    <w:tmpl w:val="C442FD6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MmVlYTMyZTdkM2M5ODc1NjExZWM5MGU1YmE2ZTIifQ=="/>
  </w:docVars>
  <w:rsids>
    <w:rsidRoot w:val="00000000"/>
    <w:rsid w:val="10045463"/>
    <w:rsid w:val="136E3F38"/>
    <w:rsid w:val="15CB23CB"/>
    <w:rsid w:val="16A93786"/>
    <w:rsid w:val="196771D2"/>
    <w:rsid w:val="1D582845"/>
    <w:rsid w:val="2302250F"/>
    <w:rsid w:val="307067F3"/>
    <w:rsid w:val="333D4890"/>
    <w:rsid w:val="39F62EF3"/>
    <w:rsid w:val="3F8A64BB"/>
    <w:rsid w:val="441543CD"/>
    <w:rsid w:val="44F75FDB"/>
    <w:rsid w:val="4CBA083B"/>
    <w:rsid w:val="50BD2932"/>
    <w:rsid w:val="53122C69"/>
    <w:rsid w:val="5ED13A5E"/>
    <w:rsid w:val="61E361CF"/>
    <w:rsid w:val="68646674"/>
    <w:rsid w:val="69A36585"/>
    <w:rsid w:val="762B56D2"/>
    <w:rsid w:val="778E7BEF"/>
    <w:rsid w:val="79401D1D"/>
    <w:rsid w:val="7A816F10"/>
    <w:rsid w:val="7DAE5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790</Words>
  <Characters>850</Characters>
  <Lines>0</Lines>
  <Paragraphs>0</Paragraphs>
  <TotalTime>11</TotalTime>
  <ScaleCrop>false</ScaleCrop>
  <LinksUpToDate>false</LinksUpToDate>
  <CharactersWithSpaces>937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shirley</cp:lastModifiedBy>
  <cp:lastPrinted>2020-10-02T01:07:00Z</cp:lastPrinted>
  <dcterms:modified xsi:type="dcterms:W3CDTF">2025-02-17T06:32:57Z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D12C80C531C54EE598045CB5DE950EC0_12</vt:lpwstr>
  </property>
  <property fmtid="{D5CDD505-2E9C-101B-9397-08002B2CF9AE}" pid="4" name="KSOTemplateDocerSaveRecord">
    <vt:lpwstr>eyJoZGlkIjoiNGFiMmVlYTMyZTdkM2M5ODc1NjExZWM5MGU1YmE2ZTIiLCJ1c2VySWQiOiIzMjMyMDU0NDQifQ==</vt:lpwstr>
  </property>
</Properties>
</file>