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700" w:lineRule="exact"/>
        <w:jc w:val="center"/>
        <w:rPr>
          <w:rFonts w:ascii="方正小标宋简体" w:hAnsi="微软雅黑" w:eastAsia="方正小标宋简体"/>
          <w:b/>
          <w:color w:val="262626"/>
          <w:sz w:val="21"/>
          <w:szCs w:val="21"/>
        </w:rPr>
      </w:pPr>
      <w:r>
        <w:rPr>
          <w:rStyle w:val="8"/>
          <w:rFonts w:hint="eastAsia" w:ascii="方正小标宋简体" w:eastAsia="方正小标宋简体"/>
          <w:b w:val="0"/>
          <w:color w:val="262626"/>
          <w:sz w:val="44"/>
          <w:szCs w:val="44"/>
        </w:rPr>
        <w:t>关于</w:t>
      </w:r>
      <w:r>
        <w:rPr>
          <w:rStyle w:val="8"/>
          <w:rFonts w:hint="eastAsia" w:ascii="方正小标宋简体" w:eastAsia="方正小标宋简体"/>
          <w:b w:val="0"/>
          <w:color w:val="262626"/>
          <w:sz w:val="44"/>
          <w:szCs w:val="44"/>
          <w:lang w:eastAsia="zh-CN"/>
        </w:rPr>
        <w:t>组织开展</w:t>
      </w:r>
      <w:r>
        <w:rPr>
          <w:rStyle w:val="8"/>
          <w:rFonts w:hint="eastAsia" w:ascii="方正小标宋简体" w:eastAsia="方正小标宋简体"/>
          <w:b w:val="0"/>
          <w:color w:val="262626"/>
          <w:sz w:val="44"/>
          <w:szCs w:val="44"/>
          <w:lang w:val="en-US" w:eastAsia="zh-CN"/>
        </w:rPr>
        <w:t>2024年在线开放课程和知识图谱建设课源选拔的</w:t>
      </w:r>
      <w:r>
        <w:rPr>
          <w:rStyle w:val="8"/>
          <w:rFonts w:hint="eastAsia" w:ascii="方正小标宋简体" w:eastAsia="方正小标宋简体"/>
          <w:b w:val="0"/>
          <w:color w:val="262626"/>
          <w:sz w:val="44"/>
          <w:szCs w:val="44"/>
        </w:rPr>
        <w:t>通知</w:t>
      </w:r>
    </w:p>
    <w:p>
      <w:pPr>
        <w:pStyle w:val="4"/>
        <w:shd w:val="clear" w:color="auto" w:fill="FFFFFF"/>
        <w:spacing w:before="0" w:beforeAutospacing="0" w:after="0" w:afterAutospacing="0" w:line="220" w:lineRule="exact"/>
        <w:rPr>
          <w:rFonts w:ascii="微软雅黑" w:hAnsi="微软雅黑" w:eastAsia="微软雅黑"/>
          <w:color w:val="262626"/>
          <w:sz w:val="21"/>
          <w:szCs w:val="21"/>
        </w:rPr>
      </w:pPr>
    </w:p>
    <w:p>
      <w:pPr>
        <w:pStyle w:val="4"/>
        <w:shd w:val="clear" w:color="auto" w:fill="FFFFFF"/>
        <w:spacing w:before="0" w:beforeAutospacing="0" w:after="0" w:afterAutospacing="0"/>
        <w:rPr>
          <w:rFonts w:ascii="仿宋_GB2312" w:hAnsi="仿宋" w:eastAsia="仿宋_GB2312"/>
          <w:color w:val="262626"/>
          <w:sz w:val="32"/>
          <w:szCs w:val="32"/>
        </w:rPr>
      </w:pPr>
      <w:r>
        <w:rPr>
          <w:rFonts w:hint="eastAsia" w:ascii="仿宋_GB2312" w:hAnsi="仿宋" w:eastAsia="仿宋_GB2312"/>
          <w:color w:val="262626"/>
          <w:sz w:val="32"/>
          <w:szCs w:val="32"/>
        </w:rPr>
        <w:t>各</w:t>
      </w:r>
      <w:r>
        <w:rPr>
          <w:rFonts w:hint="eastAsia" w:ascii="仿宋_GB2312" w:hAnsi="仿宋" w:eastAsia="仿宋_GB2312"/>
          <w:color w:val="262626"/>
          <w:sz w:val="32"/>
          <w:szCs w:val="32"/>
          <w:lang w:eastAsia="zh-CN"/>
        </w:rPr>
        <w:t>教学单位</w:t>
      </w:r>
      <w:r>
        <w:rPr>
          <w:rFonts w:hint="eastAsia" w:ascii="仿宋_GB2312" w:hAnsi="仿宋" w:eastAsia="仿宋_GB2312"/>
          <w:color w:val="262626"/>
          <w:sz w:val="32"/>
          <w:szCs w:val="32"/>
        </w:rPr>
        <w:t>：</w:t>
      </w:r>
    </w:p>
    <w:p>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ascii="仿宋_GB2312" w:hAnsi="微软雅黑" w:eastAsia="仿宋_GB2312"/>
          <w:color w:val="262626"/>
          <w:sz w:val="21"/>
          <w:szCs w:val="21"/>
        </w:rPr>
      </w:pPr>
      <w:r>
        <w:rPr>
          <w:rFonts w:hint="eastAsia" w:ascii="仿宋_GB2312" w:hAnsi="仿宋" w:eastAsia="仿宋_GB2312"/>
          <w:color w:val="262626"/>
          <w:sz w:val="32"/>
          <w:szCs w:val="32"/>
        </w:rPr>
        <w:t>为进一步提升我校在线开放课程建设水平，根据</w:t>
      </w:r>
      <w:r>
        <w:rPr>
          <w:rFonts w:hint="eastAsia" w:ascii="仿宋_GB2312" w:hAnsi="仿宋" w:eastAsia="仿宋_GB2312"/>
          <w:color w:val="262626"/>
          <w:sz w:val="32"/>
          <w:szCs w:val="32"/>
          <w:lang w:eastAsia="zh-CN"/>
        </w:rPr>
        <w:t>《</w:t>
      </w:r>
      <w:r>
        <w:rPr>
          <w:rFonts w:hint="eastAsia" w:ascii="仿宋_GB2312" w:hAnsi="仿宋" w:eastAsia="仿宋_GB2312"/>
          <w:color w:val="262626"/>
          <w:sz w:val="32"/>
          <w:szCs w:val="32"/>
        </w:rPr>
        <w:t>山东省高等学校在线开放课程建设实施方案</w:t>
      </w:r>
      <w:r>
        <w:rPr>
          <w:rFonts w:hint="eastAsia" w:ascii="仿宋_GB2312" w:hAnsi="仿宋" w:eastAsia="仿宋_GB2312"/>
          <w:color w:val="262626"/>
          <w:sz w:val="32"/>
          <w:szCs w:val="32"/>
          <w:lang w:eastAsia="zh-CN"/>
        </w:rPr>
        <w:t>》《山东省高等学校在线开放课程平台课程上线审核标准（试行）》（附件</w:t>
      </w:r>
      <w:r>
        <w:rPr>
          <w:rFonts w:hint="eastAsia" w:ascii="仿宋_GB2312" w:hAnsi="仿宋" w:eastAsia="仿宋_GB2312"/>
          <w:color w:val="262626"/>
          <w:sz w:val="32"/>
          <w:szCs w:val="32"/>
          <w:lang w:val="en-US" w:eastAsia="zh-CN"/>
        </w:rPr>
        <w:t>1、2</w:t>
      </w:r>
      <w:r>
        <w:rPr>
          <w:rFonts w:hint="eastAsia" w:ascii="仿宋_GB2312" w:hAnsi="仿宋" w:eastAsia="仿宋_GB2312"/>
          <w:color w:val="262626"/>
          <w:sz w:val="32"/>
          <w:szCs w:val="32"/>
          <w:lang w:eastAsia="zh-CN"/>
        </w:rPr>
        <w:t>）</w:t>
      </w:r>
      <w:r>
        <w:rPr>
          <w:rFonts w:hint="eastAsia" w:ascii="仿宋_GB2312" w:eastAsia="仿宋_GB2312" w:cs="仿宋_GB2312"/>
          <w:color w:val="000000"/>
          <w:sz w:val="32"/>
          <w:szCs w:val="32"/>
          <w:lang w:eastAsia="zh-CN"/>
        </w:rPr>
        <w:t>等</w:t>
      </w:r>
      <w:r>
        <w:rPr>
          <w:rFonts w:hint="eastAsia" w:ascii="仿宋_GB2312" w:eastAsia="仿宋_GB2312" w:cs="仿宋_GB2312"/>
          <w:color w:val="000000"/>
          <w:sz w:val="32"/>
          <w:szCs w:val="32"/>
        </w:rPr>
        <w:t>文件精神，结合我校实际，</w:t>
      </w:r>
      <w:r>
        <w:rPr>
          <w:rFonts w:ascii="仿宋_GB2312" w:hAnsi="仿宋_GB2312" w:eastAsia="仿宋_GB2312" w:cs="仿宋_GB2312"/>
          <w:color w:val="000000"/>
          <w:kern w:val="0"/>
          <w:sz w:val="31"/>
          <w:szCs w:val="31"/>
          <w:lang w:val="en-US" w:eastAsia="zh-CN" w:bidi="ar"/>
        </w:rPr>
        <w:t>现</w:t>
      </w:r>
      <w:r>
        <w:rPr>
          <w:rFonts w:hint="eastAsia" w:ascii="仿宋_GB2312" w:hAnsi="仿宋_GB2312" w:eastAsia="仿宋_GB2312" w:cs="仿宋_GB2312"/>
          <w:color w:val="000000"/>
          <w:kern w:val="0"/>
          <w:sz w:val="31"/>
          <w:szCs w:val="31"/>
          <w:lang w:val="en-US" w:eastAsia="zh-CN" w:bidi="ar"/>
        </w:rPr>
        <w:t>组织开展2024年在线开放课程和知识图谱建设课源选拔工作，现将有关事宜</w:t>
      </w:r>
      <w:r>
        <w:rPr>
          <w:rFonts w:ascii="仿宋_GB2312" w:hAnsi="仿宋_GB2312" w:eastAsia="仿宋_GB2312" w:cs="仿宋_GB2312"/>
          <w:color w:val="000000"/>
          <w:kern w:val="0"/>
          <w:sz w:val="31"/>
          <w:szCs w:val="31"/>
          <w:lang w:val="en-US" w:eastAsia="zh-CN" w:bidi="ar"/>
        </w:rPr>
        <w:t>通知如下</w:t>
      </w:r>
      <w:r>
        <w:rPr>
          <w:rFonts w:hint="eastAsia" w:ascii="仿宋_GB2312" w:eastAsia="仿宋_GB2312" w:cs="仿宋_GB2312"/>
          <w:color w:val="000000"/>
          <w:sz w:val="32"/>
          <w:szCs w:val="32"/>
        </w:rPr>
        <w:t>：</w:t>
      </w:r>
    </w:p>
    <w:p>
      <w:pPr>
        <w:numPr>
          <w:ilvl w:val="0"/>
          <w:numId w:val="0"/>
        </w:numPr>
        <w:shd w:val="clear" w:color="auto" w:fill="FFFFFF"/>
        <w:spacing w:beforeLines="50" w:afterLines="50"/>
        <w:rPr>
          <w:rFonts w:hint="eastAsia" w:ascii="黑体" w:hAnsi="黑体" w:eastAsia="黑体" w:cs="仿宋_GB2312"/>
          <w:color w:val="000000"/>
          <w:sz w:val="32"/>
          <w:szCs w:val="32"/>
        </w:rPr>
      </w:pPr>
      <w:r>
        <w:rPr>
          <w:rFonts w:hint="eastAsia" w:ascii="黑体" w:hAnsi="黑体" w:eastAsia="黑体" w:cs="仿宋_GB2312"/>
          <w:color w:val="000000"/>
          <w:sz w:val="32"/>
          <w:szCs w:val="32"/>
        </w:rPr>
        <w:t>一、</w:t>
      </w:r>
      <w:r>
        <w:rPr>
          <w:rFonts w:hint="eastAsia" w:ascii="黑体" w:hAnsi="黑体" w:eastAsia="黑体" w:cs="仿宋_GB2312"/>
          <w:color w:val="000000"/>
          <w:sz w:val="32"/>
          <w:szCs w:val="32"/>
          <w:lang w:eastAsia="zh-CN"/>
        </w:rPr>
        <w:t>在线课程建设目标</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Lines="50" w:afterLines="50"/>
        <w:ind w:firstLine="640" w:firstLineChars="200"/>
        <w:textAlignment w:val="auto"/>
        <w:rPr>
          <w:rFonts w:hint="eastAsia" w:ascii="仿宋_GB2312" w:hAnsi="仿宋" w:eastAsia="仿宋_GB2312" w:cs="宋体"/>
          <w:color w:val="262626"/>
          <w:kern w:val="0"/>
          <w:sz w:val="32"/>
          <w:szCs w:val="32"/>
          <w:lang w:eastAsia="zh-CN"/>
        </w:rPr>
      </w:pPr>
      <w:r>
        <w:rPr>
          <w:rFonts w:hint="eastAsia" w:ascii="仿宋_GB2312" w:hAnsi="仿宋" w:eastAsia="仿宋_GB2312" w:cs="宋体"/>
          <w:color w:val="262626"/>
          <w:kern w:val="0"/>
          <w:sz w:val="32"/>
          <w:szCs w:val="32"/>
          <w:lang w:eastAsia="zh-CN"/>
        </w:rPr>
        <w:t>在线课程建设的短期目标为课程申报山东省高等学校在线开放课程平台（以下简称“省平台”）和国家高等教育智慧教育平台（以下简称“国家平台”）上线做准备，</w:t>
      </w:r>
      <w:r>
        <w:rPr>
          <w:rFonts w:hint="eastAsia" w:ascii="仿宋_GB2312" w:hAnsi="仿宋" w:eastAsia="仿宋_GB2312" w:cs="宋体"/>
          <w:b/>
          <w:bCs/>
          <w:color w:val="262626"/>
          <w:kern w:val="0"/>
          <w:sz w:val="32"/>
          <w:szCs w:val="32"/>
          <w:lang w:eastAsia="zh-CN"/>
        </w:rPr>
        <w:t>因此对于讲授内容基本相同、适用专业范围相近且省平台已上线达到5门的课程（</w:t>
      </w:r>
      <w:r>
        <w:rPr>
          <w:rFonts w:hint="eastAsia" w:ascii="仿宋_GB2312" w:hAnsi="仿宋" w:eastAsia="仿宋_GB2312" w:cs="宋体"/>
          <w:b w:val="0"/>
          <w:bCs w:val="0"/>
          <w:color w:val="auto"/>
          <w:kern w:val="0"/>
          <w:sz w:val="32"/>
          <w:szCs w:val="32"/>
          <w:lang w:eastAsia="zh-CN"/>
        </w:rPr>
        <w:t>查询方法见附件</w:t>
      </w:r>
      <w:r>
        <w:rPr>
          <w:rFonts w:hint="eastAsia" w:ascii="仿宋_GB2312" w:hAnsi="仿宋" w:eastAsia="仿宋_GB2312" w:cs="宋体"/>
          <w:b w:val="0"/>
          <w:bCs w:val="0"/>
          <w:color w:val="auto"/>
          <w:kern w:val="0"/>
          <w:sz w:val="32"/>
          <w:szCs w:val="32"/>
          <w:lang w:val="en-US" w:eastAsia="zh-CN"/>
        </w:rPr>
        <w:t>3</w:t>
      </w:r>
      <w:r>
        <w:rPr>
          <w:rFonts w:hint="eastAsia" w:ascii="仿宋_GB2312" w:hAnsi="仿宋" w:eastAsia="仿宋_GB2312" w:cs="宋体"/>
          <w:b/>
          <w:bCs/>
          <w:color w:val="262626"/>
          <w:kern w:val="0"/>
          <w:sz w:val="32"/>
          <w:szCs w:val="32"/>
          <w:lang w:eastAsia="zh-CN"/>
        </w:rPr>
        <w:t>），不在本次申报范围</w:t>
      </w:r>
      <w:r>
        <w:rPr>
          <w:rFonts w:hint="eastAsia" w:ascii="仿宋_GB2312" w:hAnsi="仿宋" w:eastAsia="仿宋_GB2312" w:cs="宋体"/>
          <w:color w:val="262626"/>
          <w:kern w:val="0"/>
          <w:sz w:val="32"/>
          <w:szCs w:val="32"/>
          <w:lang w:eastAsia="zh-CN"/>
        </w:rPr>
        <w:t>（已获批的国家级、省级一流本科课程不受此条限制）。</w:t>
      </w:r>
    </w:p>
    <w:p>
      <w:pPr>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Lines="50" w:afterLines="50"/>
        <w:ind w:firstLine="640" w:firstLineChars="200"/>
        <w:textAlignment w:val="auto"/>
        <w:rPr>
          <w:rFonts w:hint="eastAsia" w:ascii="黑体" w:hAnsi="黑体" w:eastAsia="黑体" w:cs="仿宋_GB2312"/>
          <w:color w:val="000000"/>
          <w:sz w:val="32"/>
          <w:szCs w:val="32"/>
        </w:rPr>
      </w:pPr>
      <w:r>
        <w:rPr>
          <w:rFonts w:hint="eastAsia" w:ascii="仿宋_GB2312" w:hAnsi="仿宋" w:eastAsia="仿宋_GB2312" w:cs="宋体"/>
          <w:color w:val="262626"/>
          <w:kern w:val="0"/>
          <w:sz w:val="32"/>
          <w:szCs w:val="32"/>
          <w:lang w:eastAsia="zh-CN"/>
        </w:rPr>
        <w:t>在线课程建设的长期目标为丰富我校课程资源，提高课程数字化水平，提升课堂教学质量，提高教师教学能力，助力高水平课程建设成果申报。</w:t>
      </w:r>
    </w:p>
    <w:p>
      <w:pPr>
        <w:numPr>
          <w:ilvl w:val="0"/>
          <w:numId w:val="0"/>
        </w:numPr>
        <w:shd w:val="clear" w:color="auto" w:fill="FFFFFF"/>
        <w:spacing w:beforeLines="50" w:afterLines="50"/>
        <w:rPr>
          <w:rFonts w:hint="eastAsia" w:ascii="黑体" w:hAnsi="黑体" w:eastAsia="黑体" w:cs="仿宋_GB2312"/>
          <w:color w:val="000000"/>
          <w:sz w:val="32"/>
          <w:szCs w:val="32"/>
        </w:rPr>
      </w:pPr>
      <w:r>
        <w:rPr>
          <w:rFonts w:hint="eastAsia" w:ascii="黑体" w:hAnsi="黑体" w:eastAsia="黑体" w:cs="仿宋_GB2312"/>
          <w:color w:val="000000"/>
          <w:sz w:val="32"/>
          <w:szCs w:val="32"/>
        </w:rPr>
        <w:t>二、课程申报要求</w:t>
      </w:r>
    </w:p>
    <w:p>
      <w:pPr>
        <w:ind w:firstLine="640" w:firstLineChars="200"/>
        <w:rPr>
          <w:rFonts w:hint="eastAsia" w:ascii="仿宋_GB2312" w:hAnsi="仿宋" w:eastAsia="仿宋_GB2312" w:cs="宋体"/>
          <w:color w:val="262626"/>
          <w:kern w:val="0"/>
          <w:sz w:val="32"/>
          <w:szCs w:val="32"/>
        </w:rPr>
      </w:pPr>
      <w:r>
        <w:rPr>
          <w:rFonts w:hint="eastAsia" w:ascii="仿宋_GB2312" w:hAnsi="仿宋" w:eastAsia="仿宋_GB2312" w:cs="宋体"/>
          <w:color w:val="262626"/>
          <w:kern w:val="0"/>
          <w:sz w:val="32"/>
          <w:szCs w:val="32"/>
          <w:lang w:val="en-US" w:eastAsia="zh-CN"/>
        </w:rPr>
        <w:t>1、</w:t>
      </w:r>
      <w:r>
        <w:rPr>
          <w:rFonts w:hint="eastAsia" w:ascii="仿宋_GB2312" w:hAnsi="仿宋" w:eastAsia="仿宋_GB2312" w:cs="宋体"/>
          <w:color w:val="262626"/>
          <w:kern w:val="0"/>
          <w:sz w:val="32"/>
          <w:szCs w:val="32"/>
        </w:rPr>
        <w:t>课程</w:t>
      </w:r>
      <w:r>
        <w:rPr>
          <w:rFonts w:hint="eastAsia" w:ascii="仿宋_GB2312" w:hAnsi="仿宋" w:eastAsia="仿宋_GB2312" w:cs="宋体"/>
          <w:color w:val="262626"/>
          <w:kern w:val="0"/>
          <w:sz w:val="32"/>
          <w:szCs w:val="32"/>
          <w:lang w:eastAsia="zh-CN"/>
        </w:rPr>
        <w:t>负责人必须主讲该课程</w:t>
      </w:r>
      <w:r>
        <w:rPr>
          <w:rFonts w:hint="eastAsia" w:ascii="仿宋_GB2312" w:hAnsi="仿宋" w:eastAsia="仿宋_GB2312" w:cs="宋体"/>
          <w:color w:val="262626"/>
          <w:kern w:val="0"/>
          <w:sz w:val="32"/>
          <w:szCs w:val="32"/>
          <w:lang w:val="en-US" w:eastAsia="zh-CN"/>
        </w:rPr>
        <w:t>2轮及以上，且申报课程</w:t>
      </w:r>
      <w:r>
        <w:rPr>
          <w:rFonts w:hint="eastAsia" w:ascii="仿宋_GB2312" w:hAnsi="仿宋" w:eastAsia="仿宋_GB2312" w:cs="宋体"/>
          <w:color w:val="262626"/>
          <w:kern w:val="0"/>
          <w:sz w:val="32"/>
          <w:szCs w:val="32"/>
        </w:rPr>
        <w:t>必须</w:t>
      </w:r>
      <w:r>
        <w:rPr>
          <w:rFonts w:hint="eastAsia" w:ascii="仿宋_GB2312" w:hAnsi="仿宋" w:eastAsia="仿宋_GB2312" w:cs="宋体"/>
          <w:color w:val="262626"/>
          <w:kern w:val="0"/>
          <w:sz w:val="32"/>
          <w:szCs w:val="32"/>
          <w:lang w:eastAsia="zh-CN"/>
        </w:rPr>
        <w:t>基本具备完成在线课程制作的资源，</w:t>
      </w:r>
      <w:r>
        <w:rPr>
          <w:rFonts w:hint="eastAsia" w:ascii="仿宋_GB2312" w:hAnsi="仿宋" w:eastAsia="仿宋_GB2312" w:cs="宋体"/>
          <w:color w:val="262626"/>
          <w:kern w:val="0"/>
          <w:sz w:val="32"/>
          <w:szCs w:val="32"/>
        </w:rPr>
        <w:t>包括</w:t>
      </w:r>
      <w:r>
        <w:rPr>
          <w:rFonts w:hint="eastAsia" w:ascii="仿宋_GB2312" w:hAnsi="仿宋" w:eastAsia="仿宋_GB2312" w:cs="宋体"/>
          <w:color w:val="262626"/>
          <w:kern w:val="0"/>
          <w:sz w:val="32"/>
          <w:szCs w:val="32"/>
          <w:lang w:eastAsia="zh-CN"/>
        </w:rPr>
        <w:t>完善的融入课程思政的</w:t>
      </w:r>
      <w:r>
        <w:rPr>
          <w:rFonts w:hint="eastAsia" w:ascii="仿宋_GB2312" w:hAnsi="仿宋" w:eastAsia="仿宋_GB2312" w:cs="宋体"/>
          <w:color w:val="262626"/>
          <w:kern w:val="0"/>
          <w:sz w:val="32"/>
          <w:szCs w:val="32"/>
        </w:rPr>
        <w:t>教学大纲、</w:t>
      </w:r>
      <w:r>
        <w:rPr>
          <w:rFonts w:hint="eastAsia" w:ascii="仿宋_GB2312" w:hAnsi="仿宋" w:eastAsia="仿宋_GB2312" w:cs="宋体"/>
          <w:color w:val="262626"/>
          <w:kern w:val="0"/>
          <w:sz w:val="32"/>
          <w:szCs w:val="32"/>
          <w:lang w:eastAsia="zh-CN"/>
        </w:rPr>
        <w:t>完整的课程教案或教学设计，制作优良的课件，</w:t>
      </w:r>
      <w:r>
        <w:rPr>
          <w:rFonts w:hint="eastAsia" w:ascii="仿宋_GB2312" w:hAnsi="仿宋" w:eastAsia="仿宋_GB2312" w:cs="宋体"/>
          <w:color w:val="262626"/>
          <w:kern w:val="0"/>
          <w:sz w:val="32"/>
          <w:szCs w:val="32"/>
        </w:rPr>
        <w:t>课堂</w:t>
      </w:r>
      <w:r>
        <w:rPr>
          <w:rFonts w:hint="eastAsia" w:ascii="仿宋_GB2312" w:hAnsi="仿宋" w:eastAsia="仿宋_GB2312" w:cs="宋体"/>
          <w:color w:val="262626"/>
          <w:kern w:val="0"/>
          <w:sz w:val="32"/>
          <w:szCs w:val="32"/>
          <w:lang w:eastAsia="zh-CN"/>
        </w:rPr>
        <w:t>讨论、</w:t>
      </w:r>
      <w:r>
        <w:rPr>
          <w:rFonts w:hint="eastAsia" w:ascii="仿宋_GB2312" w:hAnsi="仿宋" w:eastAsia="仿宋_GB2312" w:cs="宋体"/>
          <w:color w:val="262626"/>
          <w:kern w:val="0"/>
          <w:sz w:val="32"/>
          <w:szCs w:val="32"/>
        </w:rPr>
        <w:t>测验、作业、</w:t>
      </w:r>
      <w:r>
        <w:rPr>
          <w:rFonts w:hint="eastAsia" w:ascii="仿宋_GB2312" w:hAnsi="仿宋" w:eastAsia="仿宋_GB2312" w:cs="宋体"/>
          <w:color w:val="262626"/>
          <w:kern w:val="0"/>
          <w:sz w:val="32"/>
          <w:szCs w:val="32"/>
          <w:lang w:eastAsia="zh-CN"/>
        </w:rPr>
        <w:t>题库</w:t>
      </w:r>
      <w:r>
        <w:rPr>
          <w:rFonts w:hint="eastAsia" w:ascii="仿宋_GB2312" w:hAnsi="仿宋" w:eastAsia="仿宋_GB2312" w:cs="宋体"/>
          <w:color w:val="262626"/>
          <w:kern w:val="0"/>
          <w:sz w:val="32"/>
          <w:szCs w:val="32"/>
        </w:rPr>
        <w:t>、拓展资源等。</w:t>
      </w:r>
    </w:p>
    <w:p>
      <w:pPr>
        <w:ind w:firstLine="640" w:firstLineChars="200"/>
        <w:rPr>
          <w:rFonts w:hint="default"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rPr>
        <w:t>2、课程学分必须在2学分及以上（32-36学时），课程录制时间在500分钟及以上。</w:t>
      </w:r>
    </w:p>
    <w:p>
      <w:pPr>
        <w:ind w:firstLine="643" w:firstLineChars="200"/>
        <w:rPr>
          <w:rFonts w:hint="eastAsia" w:ascii="仿宋_GB2312" w:hAnsi="仿宋" w:eastAsia="仿宋_GB2312" w:cs="宋体"/>
          <w:b/>
          <w:bCs/>
          <w:color w:val="262626"/>
          <w:kern w:val="0"/>
          <w:sz w:val="32"/>
          <w:szCs w:val="32"/>
          <w:lang w:val="en-US" w:eastAsia="zh-CN"/>
        </w:rPr>
      </w:pPr>
      <w:r>
        <w:rPr>
          <w:rFonts w:hint="eastAsia" w:ascii="仿宋_GB2312" w:hAnsi="仿宋" w:eastAsia="仿宋_GB2312" w:cs="宋体"/>
          <w:b/>
          <w:bCs/>
          <w:color w:val="262626"/>
          <w:kern w:val="0"/>
          <w:sz w:val="32"/>
          <w:szCs w:val="32"/>
          <w:lang w:val="en-US" w:eastAsia="zh-CN"/>
        </w:rPr>
        <w:t>3、对于讲授内容基本相同、适用专业范围相近且省平台已上线达到5门的课程（查询方法见</w:t>
      </w:r>
      <w:r>
        <w:rPr>
          <w:rFonts w:hint="eastAsia" w:ascii="仿宋_GB2312" w:hAnsi="仿宋" w:eastAsia="仿宋_GB2312" w:cs="宋体"/>
          <w:b/>
          <w:bCs/>
          <w:color w:val="262626"/>
          <w:kern w:val="0"/>
          <w:sz w:val="32"/>
          <w:szCs w:val="32"/>
        </w:rPr>
        <w:t>附件</w:t>
      </w:r>
      <w:r>
        <w:rPr>
          <w:rFonts w:hint="eastAsia" w:ascii="仿宋_GB2312" w:hAnsi="仿宋" w:eastAsia="仿宋_GB2312" w:cs="宋体"/>
          <w:b/>
          <w:bCs/>
          <w:color w:val="262626"/>
          <w:kern w:val="0"/>
          <w:sz w:val="32"/>
          <w:szCs w:val="32"/>
          <w:lang w:val="en-US" w:eastAsia="zh-CN"/>
        </w:rPr>
        <w:t>3），本次不再接受申报新的课程。</w:t>
      </w:r>
    </w:p>
    <w:p>
      <w:pPr>
        <w:ind w:firstLine="643" w:firstLineChars="200"/>
        <w:rPr>
          <w:rFonts w:hint="default" w:ascii="仿宋_GB2312" w:hAnsi="仿宋" w:eastAsia="仿宋_GB2312" w:cs="宋体"/>
          <w:b/>
          <w:bCs/>
          <w:color w:val="262626"/>
          <w:kern w:val="0"/>
          <w:sz w:val="32"/>
          <w:szCs w:val="32"/>
          <w:lang w:val="en-US" w:eastAsia="zh-CN"/>
        </w:rPr>
      </w:pPr>
      <w:r>
        <w:rPr>
          <w:rFonts w:hint="eastAsia" w:ascii="仿宋_GB2312" w:hAnsi="仿宋" w:eastAsia="仿宋_GB2312" w:cs="宋体"/>
          <w:b/>
          <w:bCs/>
          <w:color w:val="262626"/>
          <w:kern w:val="0"/>
          <w:sz w:val="32"/>
          <w:szCs w:val="32"/>
          <w:lang w:val="en-US" w:eastAsia="zh-CN"/>
        </w:rPr>
        <w:t>4、为集中优势资源，助力高水平成果申报，本次课程知识图谱仅限立项校级及以上的一流课程和省平台上线运行的课程申报。</w:t>
      </w:r>
    </w:p>
    <w:p>
      <w:pPr>
        <w:shd w:val="clear" w:color="auto" w:fill="FFFFFF"/>
        <w:spacing w:beforeLines="50" w:afterLines="50"/>
        <w:rPr>
          <w:rFonts w:hint="eastAsia" w:ascii="黑体" w:hAnsi="黑体" w:eastAsia="黑体" w:cs="仿宋_GB2312"/>
          <w:color w:val="000000"/>
          <w:sz w:val="32"/>
          <w:szCs w:val="32"/>
        </w:rPr>
      </w:pPr>
      <w:r>
        <w:rPr>
          <w:rFonts w:hint="eastAsia" w:ascii="黑体" w:hAnsi="黑体" w:eastAsia="黑体" w:cs="仿宋_GB2312"/>
          <w:color w:val="000000"/>
          <w:sz w:val="32"/>
          <w:szCs w:val="32"/>
          <w:lang w:eastAsia="zh-CN"/>
        </w:rPr>
        <w:t>三、</w:t>
      </w:r>
      <w:r>
        <w:rPr>
          <w:rFonts w:hint="eastAsia" w:ascii="黑体" w:hAnsi="黑体" w:eastAsia="黑体" w:cs="仿宋_GB2312"/>
          <w:color w:val="000000"/>
          <w:sz w:val="32"/>
          <w:szCs w:val="32"/>
        </w:rPr>
        <w:t>优先入选条件</w:t>
      </w:r>
    </w:p>
    <w:p>
      <w:pPr>
        <w:ind w:firstLine="640" w:firstLineChars="200"/>
        <w:rPr>
          <w:rFonts w:hint="eastAsia" w:ascii="仿宋_GB2312" w:hAnsi="仿宋" w:eastAsia="仿宋_GB2312" w:cs="宋体"/>
          <w:color w:val="262626"/>
          <w:kern w:val="0"/>
          <w:sz w:val="32"/>
          <w:szCs w:val="32"/>
        </w:rPr>
      </w:pPr>
      <w:r>
        <w:rPr>
          <w:rFonts w:hint="eastAsia" w:ascii="仿宋_GB2312" w:hAnsi="仿宋" w:eastAsia="仿宋_GB2312" w:cs="宋体"/>
          <w:color w:val="262626"/>
          <w:kern w:val="0"/>
          <w:sz w:val="32"/>
          <w:szCs w:val="32"/>
        </w:rPr>
        <w:t>1</w:t>
      </w:r>
      <w:r>
        <w:rPr>
          <w:rFonts w:hint="eastAsia" w:ascii="仿宋_GB2312" w:hAnsi="仿宋" w:eastAsia="仿宋_GB2312" w:cs="宋体"/>
          <w:color w:val="262626"/>
          <w:kern w:val="0"/>
          <w:sz w:val="32"/>
          <w:szCs w:val="32"/>
          <w:lang w:eastAsia="zh-CN"/>
        </w:rPr>
        <w:t>、</w:t>
      </w:r>
      <w:r>
        <w:rPr>
          <w:rFonts w:hint="eastAsia" w:ascii="仿宋_GB2312" w:hAnsi="仿宋" w:eastAsia="仿宋_GB2312" w:cs="宋体"/>
          <w:color w:val="262626"/>
          <w:kern w:val="0"/>
          <w:sz w:val="32"/>
          <w:szCs w:val="32"/>
        </w:rPr>
        <w:t>列入省级以上一流本科专业建设点的专业课程。</w:t>
      </w:r>
    </w:p>
    <w:p>
      <w:pPr>
        <w:ind w:firstLine="640" w:firstLineChars="200"/>
        <w:rPr>
          <w:rFonts w:hint="eastAsia" w:ascii="仿宋_GB2312" w:hAnsi="仿宋" w:eastAsia="仿宋_GB2312" w:cs="宋体"/>
          <w:color w:val="262626"/>
          <w:kern w:val="0"/>
          <w:sz w:val="32"/>
          <w:szCs w:val="32"/>
        </w:rPr>
      </w:pPr>
      <w:r>
        <w:rPr>
          <w:rFonts w:hint="eastAsia" w:ascii="仿宋_GB2312" w:hAnsi="仿宋" w:eastAsia="仿宋_GB2312" w:cs="宋体"/>
          <w:color w:val="262626"/>
          <w:kern w:val="0"/>
          <w:sz w:val="32"/>
          <w:szCs w:val="32"/>
        </w:rPr>
        <w:t>2</w:t>
      </w:r>
      <w:r>
        <w:rPr>
          <w:rFonts w:hint="eastAsia" w:ascii="仿宋_GB2312" w:hAnsi="仿宋" w:eastAsia="仿宋_GB2312" w:cs="宋体"/>
          <w:color w:val="262626"/>
          <w:kern w:val="0"/>
          <w:sz w:val="32"/>
          <w:szCs w:val="32"/>
          <w:lang w:eastAsia="zh-CN"/>
        </w:rPr>
        <w:t>、</w:t>
      </w:r>
      <w:r>
        <w:rPr>
          <w:rFonts w:hint="eastAsia" w:ascii="仿宋_GB2312" w:hAnsi="仿宋" w:eastAsia="仿宋_GB2312" w:cs="宋体"/>
          <w:color w:val="262626"/>
          <w:kern w:val="0"/>
          <w:sz w:val="32"/>
          <w:szCs w:val="32"/>
        </w:rPr>
        <w:t>列入硕士点建设专业的专业课程。</w:t>
      </w:r>
    </w:p>
    <w:p>
      <w:pPr>
        <w:ind w:firstLine="640" w:firstLineChars="200"/>
        <w:rPr>
          <w:rFonts w:hint="eastAsia" w:ascii="仿宋_GB2312" w:hAnsi="仿宋" w:eastAsia="仿宋_GB2312" w:cs="宋体"/>
          <w:color w:val="262626"/>
          <w:kern w:val="0"/>
          <w:sz w:val="32"/>
          <w:szCs w:val="32"/>
        </w:rPr>
      </w:pPr>
      <w:r>
        <w:rPr>
          <w:rFonts w:hint="eastAsia" w:ascii="仿宋_GB2312" w:hAnsi="仿宋" w:eastAsia="仿宋_GB2312" w:cs="宋体"/>
          <w:color w:val="262626"/>
          <w:kern w:val="0"/>
          <w:sz w:val="32"/>
          <w:szCs w:val="32"/>
        </w:rPr>
        <w:t>3</w:t>
      </w:r>
      <w:r>
        <w:rPr>
          <w:rFonts w:hint="eastAsia" w:ascii="仿宋_GB2312" w:hAnsi="仿宋" w:eastAsia="仿宋_GB2312" w:cs="宋体"/>
          <w:color w:val="262626"/>
          <w:kern w:val="0"/>
          <w:sz w:val="32"/>
          <w:szCs w:val="32"/>
          <w:lang w:eastAsia="zh-CN"/>
        </w:rPr>
        <w:t>、</w:t>
      </w:r>
      <w:r>
        <w:rPr>
          <w:rFonts w:hint="eastAsia" w:ascii="仿宋_GB2312" w:hAnsi="仿宋" w:eastAsia="仿宋_GB2312" w:cs="宋体"/>
          <w:color w:val="262626"/>
          <w:kern w:val="0"/>
          <w:sz w:val="32"/>
          <w:szCs w:val="32"/>
        </w:rPr>
        <w:t>课程负责人获得省级以上教学竞赛高层次奖项的课程。</w:t>
      </w:r>
    </w:p>
    <w:p>
      <w:pPr>
        <w:ind w:firstLine="640" w:firstLineChars="200"/>
        <w:rPr>
          <w:rFonts w:hint="eastAsia"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rPr>
        <w:t>4、新工科专业课程。</w:t>
      </w:r>
    </w:p>
    <w:p>
      <w:pPr>
        <w:shd w:val="clear" w:color="auto" w:fill="FFFFFF"/>
        <w:spacing w:beforeLines="50" w:afterLines="50"/>
        <w:rPr>
          <w:rFonts w:ascii="黑体" w:hAnsi="黑体" w:eastAsia="黑体" w:cs="仿宋_GB2312"/>
          <w:color w:val="000000"/>
          <w:sz w:val="32"/>
          <w:szCs w:val="32"/>
        </w:rPr>
      </w:pPr>
      <w:r>
        <w:rPr>
          <w:rFonts w:hint="eastAsia" w:ascii="黑体" w:hAnsi="黑体" w:eastAsia="黑体" w:cs="仿宋_GB2312"/>
          <w:color w:val="000000"/>
          <w:sz w:val="32"/>
          <w:szCs w:val="32"/>
        </w:rPr>
        <w:t>四、报送要求</w:t>
      </w:r>
    </w:p>
    <w:p>
      <w:pPr>
        <w:pStyle w:val="4"/>
        <w:shd w:val="clear" w:color="auto" w:fill="FFFFFF"/>
        <w:spacing w:before="0" w:beforeAutospacing="0" w:after="0" w:afterAutospacing="0"/>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（一）报送材料</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1、申报在线开放课程录制，请填报《泰山学院在线开放课程录制申报书》（附件4）和汇总表（附件6-表1）；申报课程知识图谱建设，请填报《泰山学院课程知识图谱建设申报书》（附件5）和汇总表（附件6-表2）。</w:t>
      </w:r>
    </w:p>
    <w:p>
      <w:pPr>
        <w:ind w:firstLine="640" w:firstLineChars="200"/>
        <w:rPr>
          <w:rFonts w:hint="default"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附件4和附件5按要求签字盖章后，以学院为单位，纸质版一式一份，报送至教务处A221。PDF版申报书和</w:t>
      </w:r>
      <w:r>
        <w:rPr>
          <w:rFonts w:hint="eastAsia" w:ascii="仿宋_GB2312" w:hAnsi="仿宋" w:eastAsia="仿宋_GB2312" w:cs="宋体"/>
          <w:b/>
          <w:bCs/>
          <w:color w:val="262626"/>
          <w:kern w:val="0"/>
          <w:sz w:val="32"/>
          <w:szCs w:val="32"/>
          <w:lang w:val="en-US" w:eastAsia="zh-CN" w:bidi="ar-SA"/>
        </w:rPr>
        <w:t>支撑材料</w:t>
      </w:r>
      <w:r>
        <w:rPr>
          <w:rFonts w:hint="eastAsia" w:ascii="仿宋_GB2312" w:hAnsi="仿宋" w:eastAsia="仿宋_GB2312" w:cs="宋体"/>
          <w:color w:val="262626"/>
          <w:kern w:val="0"/>
          <w:sz w:val="32"/>
          <w:szCs w:val="32"/>
          <w:lang w:val="en-US" w:eastAsia="zh-CN" w:bidi="ar-SA"/>
        </w:rPr>
        <w:t>（</w:t>
      </w:r>
      <w:r>
        <w:rPr>
          <w:rFonts w:hint="eastAsia" w:ascii="仿宋_GB2312" w:hAnsi="仿宋" w:eastAsia="仿宋_GB2312" w:cs="宋体"/>
          <w:b/>
          <w:bCs/>
          <w:color w:val="262626"/>
          <w:kern w:val="0"/>
          <w:sz w:val="32"/>
          <w:szCs w:val="32"/>
          <w:lang w:val="en-US" w:eastAsia="zh-CN" w:bidi="ar-SA"/>
        </w:rPr>
        <w:t>仅电子版，不需打印纸质版</w:t>
      </w:r>
      <w:r>
        <w:rPr>
          <w:rFonts w:hint="eastAsia" w:ascii="仿宋_GB2312" w:hAnsi="仿宋" w:eastAsia="仿宋_GB2312" w:cs="宋体"/>
          <w:color w:val="262626"/>
          <w:kern w:val="0"/>
          <w:sz w:val="32"/>
          <w:szCs w:val="32"/>
          <w:lang w:val="en-US" w:eastAsia="zh-CN" w:bidi="ar-SA"/>
        </w:rPr>
        <w:t>）由学院收集打包后，统一发送至zyjsyjxyj@tsu.edu.cn。</w:t>
      </w:r>
    </w:p>
    <w:p>
      <w:pPr>
        <w:numPr>
          <w:ilvl w:val="0"/>
          <w:numId w:val="1"/>
        </w:numPr>
        <w:spacing w:line="360" w:lineRule="auto"/>
        <w:ind w:firstLine="640" w:firstLineChars="200"/>
        <w:rPr>
          <w:rFonts w:hint="eastAsia" w:ascii="仿宋_GB2312" w:hAnsi="仿宋" w:eastAsia="仿宋_GB2312" w:cs="宋体"/>
          <w:color w:val="auto"/>
          <w:kern w:val="0"/>
          <w:sz w:val="32"/>
          <w:szCs w:val="32"/>
          <w:u w:val="none"/>
          <w:lang w:val="en-US" w:eastAsia="zh-CN" w:bidi="ar-SA"/>
        </w:rPr>
      </w:pPr>
      <w:r>
        <w:rPr>
          <w:rFonts w:hint="eastAsia" w:ascii="仿宋_GB2312" w:hAnsi="仿宋" w:eastAsia="仿宋_GB2312" w:cs="宋体"/>
          <w:color w:val="auto"/>
          <w:kern w:val="0"/>
          <w:sz w:val="32"/>
          <w:szCs w:val="32"/>
          <w:u w:val="none"/>
          <w:lang w:val="en-US" w:eastAsia="zh-CN" w:bidi="ar-SA"/>
        </w:rPr>
        <w:fldChar w:fldCharType="begin"/>
      </w:r>
      <w:r>
        <w:rPr>
          <w:rFonts w:hint="eastAsia" w:ascii="仿宋_GB2312" w:hAnsi="仿宋" w:eastAsia="仿宋_GB2312" w:cs="宋体"/>
          <w:color w:val="auto"/>
          <w:kern w:val="0"/>
          <w:sz w:val="32"/>
          <w:szCs w:val="32"/>
          <w:u w:val="none"/>
          <w:lang w:val="en-US" w:eastAsia="zh-CN" w:bidi="ar-SA"/>
        </w:rPr>
        <w:instrText xml:space="preserve"> HYPERLINK "mailto:汇总表（附件6）由学院汇总，纸质版1份，经党政主要负责人签字并加盖公章，随上述纸质材料一并报送，Excel电子版发送至zyjsyjxyj@zju.edu.cn。" </w:instrText>
      </w:r>
      <w:r>
        <w:rPr>
          <w:rFonts w:hint="eastAsia" w:ascii="仿宋_GB2312" w:hAnsi="仿宋" w:eastAsia="仿宋_GB2312" w:cs="宋体"/>
          <w:color w:val="auto"/>
          <w:kern w:val="0"/>
          <w:sz w:val="32"/>
          <w:szCs w:val="32"/>
          <w:u w:val="none"/>
          <w:lang w:val="en-US" w:eastAsia="zh-CN" w:bidi="ar-SA"/>
        </w:rPr>
        <w:fldChar w:fldCharType="separate"/>
      </w:r>
      <w:r>
        <w:rPr>
          <w:rStyle w:val="9"/>
          <w:rFonts w:hint="eastAsia" w:ascii="仿宋_GB2312" w:hAnsi="仿宋" w:eastAsia="仿宋_GB2312" w:cs="宋体"/>
          <w:color w:val="auto"/>
          <w:kern w:val="0"/>
          <w:sz w:val="32"/>
          <w:szCs w:val="32"/>
          <w:u w:val="none"/>
          <w:lang w:val="en-US" w:eastAsia="zh-CN" w:bidi="ar-SA"/>
        </w:rPr>
        <w:t>汇总表（附件6）由学院汇总，纸质版一式一份，经党政主要负责人签字并加盖公章，随上述纸质材料一并报送，</w:t>
      </w:r>
      <w:r>
        <w:rPr>
          <w:rStyle w:val="9"/>
          <w:rFonts w:hint="eastAsia" w:ascii="仿宋_GB2312" w:hAnsi="仿宋" w:eastAsia="仿宋_GB2312" w:cs="宋体"/>
          <w:b/>
          <w:bCs/>
          <w:color w:val="FF0000"/>
          <w:kern w:val="0"/>
          <w:sz w:val="32"/>
          <w:szCs w:val="32"/>
          <w:u w:val="none"/>
          <w:lang w:val="en-US" w:eastAsia="zh-CN" w:bidi="ar-SA"/>
        </w:rPr>
        <w:t>Excel</w:t>
      </w:r>
      <w:r>
        <w:rPr>
          <w:rStyle w:val="9"/>
          <w:rFonts w:hint="eastAsia" w:ascii="仿宋_GB2312" w:hAnsi="仿宋" w:eastAsia="仿宋_GB2312" w:cs="宋体"/>
          <w:color w:val="auto"/>
          <w:kern w:val="0"/>
          <w:sz w:val="32"/>
          <w:szCs w:val="32"/>
          <w:u w:val="none"/>
          <w:lang w:val="en-US" w:eastAsia="zh-CN" w:bidi="ar-SA"/>
        </w:rPr>
        <w:t>电子版发送至zyjsyjxyj@tsu.edu.cn。</w:t>
      </w:r>
      <w:r>
        <w:rPr>
          <w:rFonts w:hint="eastAsia" w:ascii="仿宋_GB2312" w:hAnsi="仿宋" w:eastAsia="仿宋_GB2312" w:cs="宋体"/>
          <w:color w:val="auto"/>
          <w:kern w:val="0"/>
          <w:sz w:val="32"/>
          <w:szCs w:val="32"/>
          <w:u w:val="none"/>
          <w:lang w:val="en-US" w:eastAsia="zh-CN" w:bidi="ar-SA"/>
        </w:rPr>
        <w:fldChar w:fldCharType="end"/>
      </w:r>
    </w:p>
    <w:p>
      <w:pPr>
        <w:numPr>
          <w:ilvl w:val="0"/>
          <w:numId w:val="1"/>
        </w:numPr>
        <w:spacing w:line="360" w:lineRule="auto"/>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请各学院择优推荐，学校将组织专家根据学校发展需求和课程质量进行评选。</w:t>
      </w:r>
      <w:r>
        <w:rPr>
          <w:rFonts w:hint="eastAsia" w:ascii="仿宋_GB2312" w:hAnsi="仿宋" w:eastAsia="仿宋_GB2312" w:cs="宋体"/>
          <w:b/>
          <w:bCs/>
          <w:color w:val="262626"/>
          <w:kern w:val="0"/>
          <w:sz w:val="32"/>
          <w:szCs w:val="32"/>
          <w:lang w:val="en-US" w:eastAsia="zh-CN" w:bidi="ar-SA"/>
        </w:rPr>
        <w:t>另外，结合今年4月中旬在线课程录制摸底结果，往年在线开放课程录制进度严重滞后的学院，本次将酌情核减课程名额，请知悉。</w:t>
      </w:r>
      <w:bookmarkStart w:id="1" w:name="_GoBack"/>
      <w:bookmarkEnd w:id="1"/>
    </w:p>
    <w:p>
      <w:pPr>
        <w:pStyle w:val="4"/>
        <w:shd w:val="clear" w:color="auto" w:fill="FFFFFF"/>
        <w:spacing w:before="0" w:beforeAutospacing="0" w:after="0" w:afterAutospacing="0"/>
        <w:ind w:firstLine="640" w:firstLineChars="200"/>
        <w:rPr>
          <w:rFonts w:hint="eastAsia" w:ascii="仿宋_GB2312" w:hAnsi="仿宋" w:eastAsia="仿宋_GB2312" w:cs="宋体"/>
          <w:color w:val="262626"/>
          <w:kern w:val="0"/>
          <w:sz w:val="32"/>
          <w:szCs w:val="32"/>
          <w:lang w:val="en-US" w:eastAsia="zh-CN" w:bidi="ar-SA"/>
        </w:rPr>
      </w:pPr>
      <w:bookmarkStart w:id="0" w:name="bookmark46"/>
      <w:bookmarkEnd w:id="0"/>
      <w:r>
        <w:rPr>
          <w:rFonts w:hint="eastAsia" w:ascii="仿宋_GB2312" w:hAnsi="仿宋" w:eastAsia="仿宋_GB2312" w:cs="宋体"/>
          <w:color w:val="262626"/>
          <w:kern w:val="0"/>
          <w:sz w:val="32"/>
          <w:szCs w:val="32"/>
          <w:lang w:val="en-US" w:eastAsia="zh-CN" w:bidi="ar-SA"/>
        </w:rPr>
        <w:t>（二）报送时间</w:t>
      </w:r>
    </w:p>
    <w:p>
      <w:pPr>
        <w:spacing w:line="360" w:lineRule="auto"/>
        <w:ind w:left="638" w:leftChars="304" w:firstLine="0" w:firstLineChars="0"/>
        <w:rPr>
          <w:rFonts w:hint="default"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截止时间：2024年5月21日下午16:00</w:t>
      </w:r>
    </w:p>
    <w:p>
      <w:pPr>
        <w:spacing w:line="360" w:lineRule="auto"/>
        <w:ind w:left="638" w:leftChars="304" w:firstLine="0" w:firstLineChars="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报送地点：办公楼教务处A221</w:t>
      </w:r>
    </w:p>
    <w:p>
      <w:pPr>
        <w:spacing w:line="360" w:lineRule="auto"/>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联系人：曹老师，联系电话:6715596</w:t>
      </w:r>
    </w:p>
    <w:p>
      <w:pPr>
        <w:spacing w:line="360" w:lineRule="auto"/>
        <w:ind w:firstLine="640" w:firstLineChars="200"/>
        <w:rPr>
          <w:rFonts w:hint="eastAsia"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rPr>
        <w:t>联系邮箱：</w:t>
      </w:r>
      <w:r>
        <w:rPr>
          <w:rFonts w:hint="eastAsia" w:ascii="仿宋_GB2312" w:hAnsi="仿宋" w:eastAsia="仿宋_GB2312" w:cs="宋体"/>
          <w:color w:val="262626"/>
          <w:kern w:val="0"/>
          <w:sz w:val="32"/>
          <w:szCs w:val="32"/>
          <w:lang w:val="en-US" w:eastAsia="zh-CN"/>
        </w:rPr>
        <w:fldChar w:fldCharType="begin"/>
      </w:r>
      <w:r>
        <w:rPr>
          <w:rFonts w:hint="eastAsia" w:ascii="仿宋_GB2312" w:hAnsi="仿宋" w:eastAsia="仿宋_GB2312" w:cs="宋体"/>
          <w:color w:val="262626"/>
          <w:kern w:val="0"/>
          <w:sz w:val="32"/>
          <w:szCs w:val="32"/>
          <w:lang w:val="en-US" w:eastAsia="zh-CN"/>
        </w:rPr>
        <w:instrText xml:space="preserve"> HYPERLINK "mailto:zyjsyjxyj@tsu.edu.cn" </w:instrText>
      </w:r>
      <w:r>
        <w:rPr>
          <w:rFonts w:hint="eastAsia" w:ascii="仿宋_GB2312" w:hAnsi="仿宋" w:eastAsia="仿宋_GB2312" w:cs="宋体"/>
          <w:color w:val="262626"/>
          <w:kern w:val="0"/>
          <w:sz w:val="32"/>
          <w:szCs w:val="32"/>
          <w:lang w:val="en-US" w:eastAsia="zh-CN"/>
        </w:rPr>
        <w:fldChar w:fldCharType="separate"/>
      </w:r>
      <w:r>
        <w:rPr>
          <w:rStyle w:val="9"/>
          <w:rFonts w:hint="eastAsia" w:ascii="仿宋_GB2312" w:hAnsi="仿宋" w:eastAsia="仿宋_GB2312" w:cs="宋体"/>
          <w:color w:val="262626"/>
          <w:kern w:val="0"/>
          <w:sz w:val="32"/>
          <w:szCs w:val="32"/>
          <w:lang w:val="en-US" w:eastAsia="zh-CN"/>
        </w:rPr>
        <w:t>zyjsyjxyj</w:t>
      </w:r>
      <w:r>
        <w:rPr>
          <w:rStyle w:val="9"/>
          <w:rFonts w:hint="eastAsia" w:ascii="仿宋_GB2312" w:hAnsi="仿宋" w:eastAsia="仿宋_GB2312" w:cs="宋体"/>
          <w:color w:val="262626"/>
          <w:kern w:val="0"/>
          <w:sz w:val="32"/>
          <w:szCs w:val="32"/>
        </w:rPr>
        <w:t>@</w:t>
      </w:r>
      <w:r>
        <w:rPr>
          <w:rStyle w:val="9"/>
          <w:rFonts w:hint="eastAsia" w:ascii="仿宋_GB2312" w:hAnsi="仿宋" w:eastAsia="仿宋_GB2312" w:cs="宋体"/>
          <w:color w:val="262626"/>
          <w:kern w:val="0"/>
          <w:sz w:val="32"/>
          <w:szCs w:val="32"/>
          <w:lang w:val="en-US" w:eastAsia="zh-CN"/>
        </w:rPr>
        <w:t>tsu</w:t>
      </w:r>
      <w:r>
        <w:rPr>
          <w:rStyle w:val="9"/>
          <w:rFonts w:hint="eastAsia" w:ascii="仿宋_GB2312" w:hAnsi="仿宋" w:eastAsia="仿宋_GB2312" w:cs="宋体"/>
          <w:color w:val="262626"/>
          <w:kern w:val="0"/>
          <w:sz w:val="32"/>
          <w:szCs w:val="32"/>
        </w:rPr>
        <w:t>.</w:t>
      </w:r>
      <w:r>
        <w:rPr>
          <w:rStyle w:val="9"/>
          <w:rFonts w:hint="eastAsia" w:ascii="仿宋_GB2312" w:hAnsi="仿宋" w:eastAsia="仿宋_GB2312" w:cs="宋体"/>
          <w:color w:val="262626"/>
          <w:kern w:val="0"/>
          <w:sz w:val="32"/>
          <w:szCs w:val="32"/>
          <w:lang w:val="en-US" w:eastAsia="zh-CN"/>
        </w:rPr>
        <w:t>edu.</w:t>
      </w:r>
      <w:r>
        <w:rPr>
          <w:rStyle w:val="9"/>
          <w:rFonts w:hint="eastAsia" w:ascii="仿宋_GB2312" w:hAnsi="仿宋" w:eastAsia="仿宋_GB2312" w:cs="宋体"/>
          <w:color w:val="262626"/>
          <w:kern w:val="0"/>
          <w:sz w:val="32"/>
          <w:szCs w:val="32"/>
        </w:rPr>
        <w:t>c</w:t>
      </w:r>
      <w:r>
        <w:rPr>
          <w:rStyle w:val="9"/>
          <w:rFonts w:hint="eastAsia" w:ascii="仿宋_GB2312" w:hAnsi="仿宋" w:eastAsia="仿宋_GB2312" w:cs="宋体"/>
          <w:color w:val="262626"/>
          <w:kern w:val="0"/>
          <w:sz w:val="32"/>
          <w:szCs w:val="32"/>
          <w:lang w:val="en-US" w:eastAsia="zh-CN"/>
        </w:rPr>
        <w:t>n</w:t>
      </w:r>
      <w:r>
        <w:rPr>
          <w:rFonts w:hint="eastAsia" w:ascii="仿宋_GB2312" w:hAnsi="仿宋" w:eastAsia="仿宋_GB2312" w:cs="宋体"/>
          <w:color w:val="262626"/>
          <w:kern w:val="0"/>
          <w:sz w:val="32"/>
          <w:szCs w:val="32"/>
          <w:lang w:val="en-US" w:eastAsia="zh-CN"/>
        </w:rPr>
        <w:fldChar w:fldCharType="end"/>
      </w:r>
    </w:p>
    <w:p>
      <w:pPr>
        <w:spacing w:line="360" w:lineRule="auto"/>
        <w:ind w:left="638" w:leftChars="304" w:firstLine="0" w:firstLineChars="0"/>
        <w:rPr>
          <w:rFonts w:hint="eastAsia" w:ascii="仿宋_GB2312" w:hAnsi="仿宋" w:eastAsia="仿宋_GB2312" w:cs="宋体"/>
          <w:color w:val="262626"/>
          <w:kern w:val="0"/>
          <w:sz w:val="32"/>
          <w:szCs w:val="32"/>
          <w:lang w:val="en-US" w:eastAsia="zh-CN"/>
        </w:rPr>
      </w:pPr>
      <w:r>
        <w:rPr>
          <w:rFonts w:hint="eastAsia" w:ascii="仿宋_GB2312" w:hAnsi="仿宋" w:eastAsia="仿宋_GB2312" w:cs="宋体"/>
          <w:color w:val="262626"/>
          <w:kern w:val="0"/>
          <w:sz w:val="32"/>
          <w:szCs w:val="32"/>
          <w:lang w:val="en-US" w:eastAsia="zh-CN" w:bidi="ar-SA"/>
        </w:rPr>
        <w:t>逾期未报送的部门、单位，视为自动放弃，请知悉。</w:t>
      </w:r>
    </w:p>
    <w:p>
      <w:pPr>
        <w:spacing w:line="640" w:lineRule="exact"/>
        <w:ind w:firstLine="5760" w:firstLineChars="1800"/>
        <w:rPr>
          <w:rFonts w:ascii="仿宋_GB2312" w:hAnsi="宋体" w:eastAsia="仿宋_GB2312" w:cs="仿宋_GB2312"/>
          <w:color w:val="000000"/>
          <w:sz w:val="32"/>
          <w:szCs w:val="32"/>
        </w:rPr>
      </w:pPr>
      <w:r>
        <w:rPr>
          <w:rFonts w:hint="eastAsia" w:ascii="仿宋_GB2312" w:hAnsi="宋体" w:eastAsia="仿宋_GB2312" w:cs="仿宋_GB2312"/>
          <w:color w:val="000000"/>
          <w:sz w:val="32"/>
          <w:szCs w:val="32"/>
          <w:lang w:eastAsia="zh-CN"/>
        </w:rPr>
        <w:t>教</w:t>
      </w:r>
      <w:r>
        <w:rPr>
          <w:rFonts w:hint="eastAsia" w:ascii="仿宋_GB2312" w:hAnsi="宋体" w:eastAsia="仿宋_GB2312" w:cs="仿宋_GB2312"/>
          <w:color w:val="000000"/>
          <w:sz w:val="32"/>
          <w:szCs w:val="32"/>
          <w:lang w:val="en-US" w:eastAsia="zh-CN"/>
        </w:rPr>
        <w:t xml:space="preserve"> </w:t>
      </w:r>
      <w:r>
        <w:rPr>
          <w:rFonts w:hint="eastAsia" w:ascii="仿宋_GB2312" w:hAnsi="宋体" w:eastAsia="仿宋_GB2312" w:cs="仿宋_GB2312"/>
          <w:color w:val="000000"/>
          <w:sz w:val="32"/>
          <w:szCs w:val="32"/>
          <w:lang w:eastAsia="zh-CN"/>
        </w:rPr>
        <w:t>务</w:t>
      </w:r>
      <w:r>
        <w:rPr>
          <w:rFonts w:hint="eastAsia" w:ascii="仿宋_GB2312" w:hAnsi="宋体" w:eastAsia="仿宋_GB2312" w:cs="仿宋_GB2312"/>
          <w:color w:val="000000"/>
          <w:sz w:val="32"/>
          <w:szCs w:val="32"/>
        </w:rPr>
        <w:t xml:space="preserve"> 处</w:t>
      </w:r>
    </w:p>
    <w:p>
      <w:pPr>
        <w:spacing w:line="640" w:lineRule="exact"/>
        <w:rPr>
          <w:rFonts w:hint="eastAsia" w:ascii="仿宋_GB2312" w:hAnsi="宋体" w:eastAsia="仿宋_GB2312" w:cs="仿宋_GB2312"/>
          <w:color w:val="000000"/>
          <w:sz w:val="32"/>
          <w:szCs w:val="32"/>
        </w:rPr>
      </w:pPr>
      <w:r>
        <w:rPr>
          <w:rFonts w:hint="eastAsia" w:ascii="仿宋_GB2312" w:hAnsi="宋体" w:eastAsia="仿宋_GB2312" w:cs="仿宋_GB2312"/>
          <w:color w:val="000000"/>
          <w:sz w:val="32"/>
          <w:szCs w:val="32"/>
        </w:rPr>
        <w:t xml:space="preserve">                                202</w:t>
      </w:r>
      <w:r>
        <w:rPr>
          <w:rFonts w:hint="eastAsia" w:ascii="仿宋_GB2312" w:hAnsi="宋体" w:eastAsia="仿宋_GB2312" w:cs="仿宋_GB2312"/>
          <w:color w:val="000000"/>
          <w:sz w:val="32"/>
          <w:szCs w:val="32"/>
          <w:lang w:val="en-US" w:eastAsia="zh-CN"/>
        </w:rPr>
        <w:t>4</w:t>
      </w:r>
      <w:r>
        <w:rPr>
          <w:rFonts w:hint="eastAsia" w:ascii="仿宋_GB2312" w:hAnsi="宋体" w:eastAsia="仿宋_GB2312" w:cs="仿宋_GB2312"/>
          <w:color w:val="000000"/>
          <w:sz w:val="32"/>
          <w:szCs w:val="32"/>
        </w:rPr>
        <w:t>年</w:t>
      </w:r>
      <w:r>
        <w:rPr>
          <w:rFonts w:hint="eastAsia" w:ascii="仿宋_GB2312" w:hAnsi="宋体" w:eastAsia="仿宋_GB2312" w:cs="仿宋_GB2312"/>
          <w:color w:val="000000"/>
          <w:sz w:val="32"/>
          <w:szCs w:val="32"/>
          <w:lang w:val="en-US" w:eastAsia="zh-CN"/>
        </w:rPr>
        <w:t>4</w:t>
      </w:r>
      <w:r>
        <w:rPr>
          <w:rFonts w:hint="eastAsia" w:ascii="仿宋_GB2312" w:hAnsi="宋体" w:eastAsia="仿宋_GB2312" w:cs="仿宋_GB2312"/>
          <w:color w:val="000000"/>
          <w:sz w:val="32"/>
          <w:szCs w:val="32"/>
        </w:rPr>
        <w:t>月</w:t>
      </w:r>
      <w:r>
        <w:rPr>
          <w:rFonts w:hint="eastAsia" w:ascii="仿宋_GB2312" w:hAnsi="宋体" w:eastAsia="仿宋_GB2312" w:cs="仿宋_GB2312"/>
          <w:color w:val="000000"/>
          <w:sz w:val="32"/>
          <w:szCs w:val="32"/>
          <w:lang w:val="en-US" w:eastAsia="zh-CN"/>
        </w:rPr>
        <w:t>30</w:t>
      </w:r>
      <w:r>
        <w:rPr>
          <w:rFonts w:hint="eastAsia" w:ascii="仿宋_GB2312" w:hAnsi="宋体" w:eastAsia="仿宋_GB2312" w:cs="仿宋_GB2312"/>
          <w:color w:val="000000"/>
          <w:sz w:val="32"/>
          <w:szCs w:val="32"/>
        </w:rPr>
        <w:t>日</w:t>
      </w:r>
    </w:p>
    <w:p>
      <w:pPr>
        <w:spacing w:line="640" w:lineRule="exact"/>
        <w:rPr>
          <w:rFonts w:hint="eastAsia" w:ascii="仿宋_GB2312" w:hAnsi="宋体" w:eastAsia="仿宋_GB2312" w:cs="仿宋_GB2312"/>
          <w:color w:val="000000"/>
          <w:sz w:val="32"/>
          <w:szCs w:val="32"/>
          <w:lang w:eastAsia="zh-CN"/>
        </w:rPr>
      </w:pPr>
      <w:r>
        <w:rPr>
          <w:rFonts w:hint="eastAsia" w:ascii="仿宋_GB2312" w:hAnsi="宋体" w:eastAsia="仿宋_GB2312" w:cs="仿宋_GB2312"/>
          <w:color w:val="000000"/>
          <w:sz w:val="32"/>
          <w:szCs w:val="32"/>
          <w:lang w:eastAsia="zh-CN"/>
        </w:rPr>
        <w:t>附件：</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附件1：《山东省高等学校在线开放课程建设实施方案》</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附件2：《山东省高等学校在线开放课程平台课程上线审核标准（试行）》</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附件3：山东省高等学校在线开放课程平台已上线课程情况的查询方法</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附件4：《泰山学院在线开放课程录制申报书》</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附件5：《泰山学院课程知识图谱建设申报书》</w:t>
      </w:r>
    </w:p>
    <w:p>
      <w:pPr>
        <w:ind w:firstLine="640" w:firstLineChars="200"/>
        <w:rPr>
          <w:rFonts w:hint="eastAsia" w:ascii="仿宋_GB2312" w:hAnsi="仿宋" w:eastAsia="仿宋_GB2312" w:cs="宋体"/>
          <w:color w:val="262626"/>
          <w:kern w:val="0"/>
          <w:sz w:val="32"/>
          <w:szCs w:val="32"/>
          <w:lang w:val="en-US" w:eastAsia="zh-CN" w:bidi="ar-SA"/>
        </w:rPr>
      </w:pPr>
      <w:r>
        <w:rPr>
          <w:rFonts w:hint="eastAsia" w:ascii="仿宋_GB2312" w:hAnsi="仿宋" w:eastAsia="仿宋_GB2312" w:cs="宋体"/>
          <w:color w:val="262626"/>
          <w:kern w:val="0"/>
          <w:sz w:val="32"/>
          <w:szCs w:val="32"/>
          <w:lang w:val="en-US" w:eastAsia="zh-CN" w:bidi="ar-SA"/>
        </w:rPr>
        <w:t>附件6：《泰山学院2024年在线开放课程和知识图谱建设课源申报汇总表》</w:t>
      </w:r>
    </w:p>
    <w:p>
      <w:pPr>
        <w:ind w:firstLine="640" w:firstLineChars="200"/>
        <w:rPr>
          <w:rFonts w:hint="eastAsia" w:ascii="仿宋_GB2312" w:hAnsi="仿宋" w:eastAsia="仿宋_GB2312" w:cs="宋体"/>
          <w:color w:val="262626"/>
          <w:kern w:val="0"/>
          <w:sz w:val="32"/>
          <w:szCs w:val="32"/>
          <w:lang w:val="en-US" w:eastAsia="zh-CN" w:bidi="ar-SA"/>
        </w:rPr>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spacing w:line="360" w:lineRule="auto"/>
        <w:ind w:firstLine="420" w:firstLineChars="200"/>
      </w:pPr>
    </w:p>
    <w:p>
      <w:pPr>
        <w:widowControl/>
        <w:spacing w:line="560" w:lineRule="exact"/>
        <w:jc w:val="left"/>
        <w:rPr>
          <w:rFonts w:hint="default" w:ascii="仿宋_GB2312" w:hAnsi="仿宋_GB2312" w:eastAsia="仿宋_GB2312" w:cs="仿宋_GB2312"/>
          <w:color w:val="auto"/>
          <w:sz w:val="32"/>
          <w:szCs w:val="32"/>
          <w:lang w:val="en-US" w:eastAsia="zh-CN"/>
        </w:rPr>
      </w:pPr>
    </w:p>
    <w:sectPr>
      <w:footerReference r:id="rId3" w:type="default"/>
      <w:pgSz w:w="11850" w:h="16783"/>
      <w:pgMar w:top="1440" w:right="1800" w:bottom="1440" w:left="1800" w:header="851" w:footer="992"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3530600</wp:posOffset>
              </wp:positionH>
              <wp:positionV relativeFrom="page">
                <wp:posOffset>9744075</wp:posOffset>
              </wp:positionV>
              <wp:extent cx="532765" cy="22796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32765" cy="227965"/>
                      </a:xfrm>
                      <a:prstGeom prst="rect">
                        <a:avLst/>
                      </a:prstGeom>
                      <a:noFill/>
                      <a:ln>
                        <a:noFill/>
                      </a:ln>
                    </wps:spPr>
                    <wps:txbx>
                      <w:txbxContent>
                        <w:p>
                          <w:pPr>
                            <w:pStyle w:val="3"/>
                            <w:spacing w:line="359" w:lineRule="exact"/>
                            <w:ind w:left="20"/>
                          </w:pPr>
                          <w:r>
                            <w:t>—</w:t>
                          </w:r>
                          <w:r>
                            <w:fldChar w:fldCharType="begin"/>
                          </w:r>
                          <w:r>
                            <w:instrText xml:space="preserve"> PAGE </w:instrText>
                          </w:r>
                          <w:r>
                            <w:fldChar w:fldCharType="separate"/>
                          </w:r>
                          <w:r>
                            <w:t>6</w:t>
                          </w:r>
                          <w:r>
                            <w:fldChar w:fldCharType="end"/>
                          </w:r>
                          <w:r>
                            <w:t>—</w:t>
                          </w:r>
                        </w:p>
                      </w:txbxContent>
                    </wps:txbx>
                    <wps:bodyPr lIns="0" tIns="0" rIns="0" bIns="0" upright="1"/>
                  </wps:wsp>
                </a:graphicData>
              </a:graphic>
            </wp:anchor>
          </w:drawing>
        </mc:Choice>
        <mc:Fallback>
          <w:pict>
            <v:shape id="_x0000_s1026" o:spid="_x0000_s1026" o:spt="202" type="#_x0000_t202" style="position:absolute;left:0pt;margin-left:278pt;margin-top:767.25pt;height:17.95pt;width:41.95pt;mso-position-horizontal-relative:page;mso-position-vertical-relative:page;z-index:-251657216;mso-width-relative:page;mso-height-relative:page;" filled="f" stroked="f" coordsize="21600,21600" o:gfxdata="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SjUJzbAAAADQEAAA8AAAAAAAAAAQAgAAAAIgAAAGRycy9kb3ducmV2LnhtbFBL&#10;AQIUABQAAAAIAIdO4kDXEeNnugEAAHEDAAAOAAAAAAAAAAEAIAAAACoBAABkcnMvZTJvRG9jLnht&#10;bFBLBQYAAAAABgAGAFkBAABWBQAAAAA=&#10;">
              <v:fill on="f" focussize="0,0"/>
              <v:stroke on="f"/>
              <v:imagedata o:title=""/>
              <o:lock v:ext="edit" aspectratio="f"/>
              <v:textbox inset="0mm,0mm,0mm,0mm">
                <w:txbxContent>
                  <w:p>
                    <w:pPr>
                      <w:pStyle w:val="3"/>
                      <w:spacing w:line="359" w:lineRule="exact"/>
                      <w:ind w:left="20"/>
                    </w:pPr>
                    <w:r>
                      <w:t>—</w:t>
                    </w:r>
                    <w:r>
                      <w:fldChar w:fldCharType="begin"/>
                    </w:r>
                    <w:r>
                      <w:instrText xml:space="preserve"> PAGE </w:instrText>
                    </w:r>
                    <w:r>
                      <w:fldChar w:fldCharType="separate"/>
                    </w:r>
                    <w:r>
                      <w:t>6</w:t>
                    </w:r>
                    <w:r>
                      <w:fldChar w:fldCharType="end"/>
                    </w:r>
                    <w: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A10F9C"/>
    <w:multiLevelType w:val="singleLevel"/>
    <w:tmpl w:val="42A10F9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MmVlYTMyZTdkM2M5ODc1NjExZWM5MGU1YmE2ZTIifQ=="/>
  </w:docVars>
  <w:rsids>
    <w:rsidRoot w:val="33F51681"/>
    <w:rsid w:val="00D3071A"/>
    <w:rsid w:val="01560D57"/>
    <w:rsid w:val="03015310"/>
    <w:rsid w:val="04650E5C"/>
    <w:rsid w:val="048C221F"/>
    <w:rsid w:val="0695656E"/>
    <w:rsid w:val="07951950"/>
    <w:rsid w:val="089D6F70"/>
    <w:rsid w:val="0E0A2B60"/>
    <w:rsid w:val="0ED31895"/>
    <w:rsid w:val="10744815"/>
    <w:rsid w:val="11765524"/>
    <w:rsid w:val="11991213"/>
    <w:rsid w:val="16FF374D"/>
    <w:rsid w:val="1C685576"/>
    <w:rsid w:val="2479115B"/>
    <w:rsid w:val="2A8D08D4"/>
    <w:rsid w:val="33F51681"/>
    <w:rsid w:val="344A6E61"/>
    <w:rsid w:val="36E33FC5"/>
    <w:rsid w:val="37B60BAD"/>
    <w:rsid w:val="399D7EC1"/>
    <w:rsid w:val="3E525D95"/>
    <w:rsid w:val="41C65174"/>
    <w:rsid w:val="433E06B1"/>
    <w:rsid w:val="44822659"/>
    <w:rsid w:val="46E46553"/>
    <w:rsid w:val="47B47C0D"/>
    <w:rsid w:val="48AD4952"/>
    <w:rsid w:val="49487A6C"/>
    <w:rsid w:val="4A723F35"/>
    <w:rsid w:val="4B572BED"/>
    <w:rsid w:val="4FE319FB"/>
    <w:rsid w:val="50EC2B32"/>
    <w:rsid w:val="58DD42DA"/>
    <w:rsid w:val="60A2320D"/>
    <w:rsid w:val="68745B1C"/>
    <w:rsid w:val="690A2941"/>
    <w:rsid w:val="6AC45722"/>
    <w:rsid w:val="6CB268EC"/>
    <w:rsid w:val="6FBA7410"/>
    <w:rsid w:val="715927E9"/>
    <w:rsid w:val="71D74909"/>
    <w:rsid w:val="74152B15"/>
    <w:rsid w:val="75C4719A"/>
    <w:rsid w:val="77932563"/>
    <w:rsid w:val="7A804C20"/>
    <w:rsid w:val="7B0F35C6"/>
    <w:rsid w:val="7C296DB3"/>
    <w:rsid w:val="7E205956"/>
    <w:rsid w:val="7F323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1"/>
    <w:pPr>
      <w:ind w:left="341" w:right="485"/>
      <w:outlineLvl w:val="1"/>
    </w:pPr>
    <w:rPr>
      <w:rFonts w:ascii="宋体" w:hAnsi="宋体" w:eastAsia="宋体" w:cs="宋体"/>
      <w:sz w:val="44"/>
      <w:szCs w:val="44"/>
      <w:lang w:val="zh-CN" w:eastAsia="zh-CN" w:bidi="zh-CN"/>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rPr>
      <w:rFonts w:ascii="宋体" w:hAnsi="宋体" w:eastAsia="宋体" w:cs="宋体"/>
      <w:sz w:val="32"/>
      <w:szCs w:val="32"/>
      <w:lang w:val="zh-CN" w:eastAsia="zh-CN" w:bidi="zh-CN"/>
    </w:rPr>
  </w:style>
  <w:style w:type="paragraph" w:styleId="4">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autoRedefine/>
    <w:qFormat/>
    <w:uiPriority w:val="22"/>
    <w:rPr>
      <w:b/>
      <w:bCs/>
    </w:rPr>
  </w:style>
  <w:style w:type="character" w:styleId="9">
    <w:name w:val="Hyperlink"/>
    <w:basedOn w:val="7"/>
    <w:autoRedefine/>
    <w:qFormat/>
    <w:uiPriority w:val="0"/>
    <w:rPr>
      <w:color w:val="0000FF"/>
      <w:u w:val="single"/>
    </w:rPr>
  </w:style>
  <w:style w:type="paragraph" w:customStyle="1" w:styleId="10">
    <w:name w:val="Body text|1"/>
    <w:basedOn w:val="1"/>
    <w:autoRedefine/>
    <w:qFormat/>
    <w:uiPriority w:val="0"/>
    <w:pPr>
      <w:spacing w:line="430" w:lineRule="auto"/>
      <w:ind w:firstLine="400"/>
    </w:pPr>
    <w:rPr>
      <w:rFonts w:ascii="宋体" w:hAnsi="宋体" w:eastAsia="宋体" w:cs="宋体"/>
      <w:color w:val="222224"/>
      <w:sz w:val="28"/>
      <w:szCs w:val="28"/>
      <w:lang w:val="zh-TW" w:eastAsia="zh-TW" w:bidi="zh-TW"/>
    </w:rPr>
  </w:style>
  <w:style w:type="paragraph" w:styleId="11">
    <w:name w:val="List Paragraph"/>
    <w:basedOn w:val="1"/>
    <w:autoRedefine/>
    <w:qFormat/>
    <w:uiPriority w:val="1"/>
    <w:pPr>
      <w:ind w:left="251" w:firstLine="640"/>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2020-07-24T07:56:00Z</dcterms:created>
  <dc:creator>TSU</dc:creator>
  <cp:lastModifiedBy>shirley</cp:lastModifiedBy>
  <cp:lastPrinted>2020-07-24T08:50:00Z</cp:lastPrinted>
  <dcterms:modified xsi:type="dcterms:W3CDTF">2024-04-30T07:48:57Z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82DF3A06EF6F479FAFF32953CE0630DF_12</vt:lpwstr>
  </property>
</Properties>
</file>