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F54B2B">
      <w:pPr>
        <w:rPr>
          <w:rFonts w:hint="eastAsia"/>
        </w:rPr>
      </w:pPr>
      <w:r>
        <w:rPr>
          <w:rFonts w:hint="eastAsia" w:ascii="仿宋_GB2312" w:hAnsi="仿宋_GB2312" w:eastAsia="仿宋_GB2312" w:cs="仿宋_GB2312"/>
          <w:sz w:val="32"/>
          <w:szCs w:val="32"/>
        </w:rPr>
        <w:pict>
          <v:shape id="_x0000_s1026" o:spid="_x0000_s1026" o:spt="136" type="#_x0000_t136" style="position:absolute;left:0pt;margin-left:23.7pt;margin-top:80.25pt;height:70.85pt;width:366pt;mso-position-vertical-relative:page;mso-wrap-distance-left:9pt;mso-wrap-distance-right:9pt;z-index:-251657216;mso-width-relative:page;mso-height-relative:page;" fillcolor="#FF0000" filled="t" stroked="t" coordsize="21600,21600" wrapcoords="13424 18 13424 48 854 50 835 266 820 1755 803 3109 185 3111 371 3644 793 3646 744 5953 253 5955 438 6488 734 6490 720 7183 698 7844 674 8472 645 8975 67 8977 253 9599 624 9601 605 10169 577 10720 548 11255 518 11772 487 12271 455 12754 422 13219 388 13666 352 14096 316 14509 278 14905 240 15283 200 15644 160 15987 118 16313 65 16716 56 16938 101 17155 454 17157 454 17172 320 17422 305 17622 312 17866 345 18577 447 19644 747 19646 770 19705 803 19915 831 20155 854 20426 879 20889 890 21237 971 21511 5052 21513 5049 21539 7405 21541 7425 21599 19516 21601 7433 21601 19524 21599 19620 21100 19675 20837 21422 20835 21439 20618 21439 20248 21443 19898 21452 19568 21465 19257 21481 18965 21502 18693 21528 18441 21557 18208 21563 17978 21540 17761 21501 17424 21444 16936 21445 16866 21521 12050 21529 11535 21530 11478 21530 11385 21531 11373 21531 11367 21547 11158 21559 10911 21566 10645 21568 10359 21565 10053 21557 9728 21527 9726 21544 9399 21527 9079 21509 8768 21488 8468 21465 8177 21440 7896 21412 7625 21382 7363 21350 7111 21315 6869 21279 6637 21239 6415 21198 6202 21154 5999 21043 5801 20773 5799 20764 5053 20992 4730 20992 1428 21032 1227 21051 981 21051 624 20973 384 20756 89 14367 87 14341 40 13457 38 13440 18 13424 18" o:allowoverlap="f" adj="10800">
            <v:path/>
            <v:fill on="t" color2="#FFFFFF" focussize="0,0"/>
            <v:stroke weight="1pt" color="#FF0000"/>
            <v:imagedata o:title=""/>
            <o:lock v:ext="edit" aspectratio="f"/>
            <v:textpath on="t" fitshape="t" fitpath="t" trim="t" xscale="f" string="泰山学院教务处" style="font-family:方正小标宋简体;font-size:80pt;v-same-letter-heights:t;v-text-align:center;v-text-spacing:98304f;"/>
            <w10:wrap type="tight"/>
            <w10:anchorlock/>
          </v:shape>
        </w:pict>
      </w:r>
    </w:p>
    <w:p w14:paraId="743DB217">
      <w:pPr>
        <w:rPr>
          <w:rFonts w:hint="eastAsia"/>
        </w:rPr>
      </w:pPr>
    </w:p>
    <w:p w14:paraId="3F40858A">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方正仿宋_GB2312" w:hAnsi="方正仿宋_GB2312" w:eastAsia="方正仿宋_GB2312" w:cs="方正仿宋_GB2312"/>
          <w:sz w:val="32"/>
          <w:szCs w:val="32"/>
          <w:lang w:eastAsia="zh-CN"/>
        </w:rPr>
      </w:pPr>
    </w:p>
    <w:p w14:paraId="118CAD9D">
      <w:pPr>
        <w:keepNext w:val="0"/>
        <w:keepLines w:val="0"/>
        <w:pageBreakBefore w:val="0"/>
        <w:widowControl w:val="0"/>
        <w:kinsoku/>
        <w:wordWrap/>
        <w:overflowPunct/>
        <w:topLinePunct w:val="0"/>
        <w:autoSpaceDE/>
        <w:autoSpaceDN/>
        <w:bidi w:val="0"/>
        <w:adjustRightInd/>
        <w:snapToGrid/>
        <w:spacing w:line="480" w:lineRule="auto"/>
        <w:jc w:val="right"/>
        <w:textAlignment w:val="auto"/>
        <w:rPr>
          <w:rFonts w:hint="eastAsia" w:ascii="方正仿宋_GB2312" w:hAnsi="方正仿宋_GB2312" w:eastAsia="方正仿宋_GB2312" w:cs="方正仿宋_GB2312"/>
          <w:sz w:val="32"/>
          <w:szCs w:val="32"/>
          <w:lang w:eastAsia="zh-CN"/>
        </w:rPr>
      </w:pPr>
    </w:p>
    <w:p w14:paraId="5F0BCCC7">
      <w:pPr>
        <w:keepNext w:val="0"/>
        <w:keepLines w:val="0"/>
        <w:pageBreakBefore w:val="0"/>
        <w:widowControl w:val="0"/>
        <w:kinsoku/>
        <w:wordWrap/>
        <w:overflowPunct/>
        <w:topLinePunct w:val="0"/>
        <w:autoSpaceDE/>
        <w:autoSpaceDN/>
        <w:bidi w:val="0"/>
        <w:adjustRightInd/>
        <w:snapToGrid/>
        <w:spacing w:line="480" w:lineRule="auto"/>
        <w:jc w:val="right"/>
        <w:textAlignment w:val="auto"/>
        <w:rPr>
          <w:rFonts w:hint="eastAsia" w:ascii="微软雅黑" w:hAnsi="黑体" w:eastAsia="微软雅黑"/>
          <w:sz w:val="44"/>
          <w:szCs w:val="44"/>
        </w:rPr>
      </w:pPr>
      <w:r>
        <w:rPr>
          <w:rFonts w:hint="eastAsia" w:ascii="仿宋_GB2312" w:hAnsi="仿宋_GB2312" w:eastAsia="仿宋_GB2312" w:cs="仿宋_GB2312"/>
          <w:b/>
          <w:bCs/>
          <w:sz w:val="32"/>
          <w:szCs w:val="32"/>
        </w:rPr>
        <mc:AlternateContent>
          <mc:Choice Requires="wps">
            <w:drawing>
              <wp:anchor distT="0" distB="0" distL="114300" distR="114300" simplePos="0" relativeHeight="251660288" behindDoc="1" locked="1" layoutInCell="1" allowOverlap="0">
                <wp:simplePos x="0" y="0"/>
                <wp:positionH relativeFrom="column">
                  <wp:posOffset>-15875</wp:posOffset>
                </wp:positionH>
                <wp:positionV relativeFrom="page">
                  <wp:posOffset>2172970</wp:posOffset>
                </wp:positionV>
                <wp:extent cx="5372100" cy="0"/>
                <wp:effectExtent l="0" t="13970" r="7620" b="16510"/>
                <wp:wrapSquare wrapText="bothSides"/>
                <wp:docPr id="1"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5372100" cy="0"/>
                        </a:xfrm>
                        <a:prstGeom prst="line">
                          <a:avLst/>
                        </a:prstGeom>
                        <a:noFill/>
                        <a:ln w="28575">
                          <a:solidFill>
                            <a:srgbClr val="FF0000"/>
                          </a:solidFill>
                          <a:round/>
                        </a:ln>
                        <a:effectLst/>
                      </wps:spPr>
                      <wps:bodyPr/>
                    </wps:wsp>
                  </a:graphicData>
                </a:graphic>
              </wp:anchor>
            </w:drawing>
          </mc:Choice>
          <mc:Fallback>
            <w:pict>
              <v:line id="_x0000_s1026" o:spid="_x0000_s1026" o:spt="20" style="position:absolute;left:0pt;margin-left:-1.25pt;margin-top:171.1pt;height:0pt;width:423pt;mso-position-vertical-relative:page;mso-wrap-distance-bottom:0pt;mso-wrap-distance-left:9pt;mso-wrap-distance-right:9pt;mso-wrap-distance-top:0pt;z-index:-251656192;mso-width-relative:page;mso-height-relative:page;" filled="f" stroked="t" coordsize="21600,21600" o:allowoverlap="f" o:gfxdata="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CT&#10;4qn01wAAAAoBAAAPAAAAAAAAAAEAIAAAACIAAABkcnMvZG93bnJldi54bWxQSwECFAAUAAAACACH&#10;TuJA3N+ZiOwBAAC5AwAADgAAAAAAAAABACAAAAAmAQAAZHJzL2Uyb0RvYy54bWxQSwUGAAAAAAYA&#10;BgBZAQAAhAUAAAAA&#10;">
                <v:fill on="f" focussize="0,0"/>
                <v:stroke weight="2.25pt" color="#FF0000" joinstyle="round"/>
                <v:imagedata o:title=""/>
                <o:lock v:ext="edit" aspectratio="f"/>
                <w10:wrap type="square"/>
                <w10:anchorlock/>
              </v:line>
            </w:pict>
          </mc:Fallback>
        </mc:AlternateContent>
      </w:r>
      <w:r>
        <w:rPr>
          <w:rFonts w:hint="eastAsia" w:ascii="方正仿宋_GB2312" w:hAnsi="方正仿宋_GB2312" w:eastAsia="方正仿宋_GB2312" w:cs="方正仿宋_GB2312"/>
          <w:sz w:val="32"/>
          <w:szCs w:val="32"/>
          <w:lang w:eastAsia="zh-CN"/>
        </w:rPr>
        <w:t>教处字</w:t>
      </w:r>
      <w:r>
        <w:rPr>
          <w:rFonts w:hint="eastAsia" w:ascii="方正仿宋_GB2312" w:hAnsi="方正仿宋_GB2312" w:eastAsia="方正仿宋_GB2312" w:cs="方正仿宋_GB2312"/>
          <w:sz w:val="32"/>
          <w:szCs w:val="32"/>
        </w:rPr>
        <w:t>〔202</w:t>
      </w:r>
      <w:r>
        <w:rPr>
          <w:rFonts w:hint="eastAsia" w:ascii="方正仿宋_GB2312" w:hAnsi="方正仿宋_GB2312" w:eastAsia="方正仿宋_GB2312" w:cs="方正仿宋_GB2312"/>
          <w:sz w:val="32"/>
          <w:szCs w:val="32"/>
          <w:lang w:val="en-US" w:eastAsia="zh-CN"/>
        </w:rPr>
        <w:t>5</w:t>
      </w:r>
      <w:r>
        <w:rPr>
          <w:rFonts w:hint="eastAsia" w:ascii="方正仿宋_GB2312" w:hAnsi="方正仿宋_GB2312" w:eastAsia="方正仿宋_GB2312" w:cs="方正仿宋_GB2312"/>
          <w:sz w:val="32"/>
          <w:szCs w:val="32"/>
        </w:rPr>
        <w:t>〕</w:t>
      </w:r>
      <w:r>
        <w:rPr>
          <w:rFonts w:hint="eastAsia" w:ascii="方正仿宋_GB2312" w:hAnsi="方正仿宋_GB2312" w:eastAsia="方正仿宋_GB2312" w:cs="方正仿宋_GB2312"/>
          <w:sz w:val="32"/>
          <w:szCs w:val="32"/>
          <w:lang w:val="en-US" w:eastAsia="zh-CN"/>
        </w:rPr>
        <w:t>38</w:t>
      </w:r>
      <w:r>
        <w:rPr>
          <w:rFonts w:hint="eastAsia" w:ascii="方正仿宋_GB2312" w:hAnsi="方正仿宋_GB2312" w:eastAsia="方正仿宋_GB2312" w:cs="方正仿宋_GB2312"/>
          <w:sz w:val="32"/>
          <w:szCs w:val="32"/>
        </w:rPr>
        <w:t>号</w:t>
      </w:r>
    </w:p>
    <w:p w14:paraId="7D756E9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313" w:beforeLines="100" w:beforeAutospacing="0" w:after="157" w:afterLines="50" w:afterAutospacing="0" w:line="560" w:lineRule="exact"/>
        <w:ind w:left="0" w:right="0" w:firstLine="0"/>
        <w:jc w:val="center"/>
        <w:textAlignment w:val="auto"/>
        <w:rPr>
          <w:rFonts w:hint="eastAsia" w:ascii="方正公文小标宋" w:hAnsi="方正公文小标宋" w:eastAsia="方正公文小标宋" w:cs="方正公文小标宋"/>
          <w:b w:val="0"/>
          <w:bCs w:val="0"/>
          <w:i w:val="0"/>
          <w:iCs w:val="0"/>
          <w:caps w:val="0"/>
          <w:color w:val="333333"/>
          <w:spacing w:val="0"/>
          <w:sz w:val="44"/>
          <w:szCs w:val="44"/>
        </w:rPr>
      </w:pPr>
      <w:r>
        <w:rPr>
          <w:rFonts w:hint="eastAsia" w:ascii="方正公文小标宋" w:hAnsi="方正公文小标宋" w:eastAsia="方正公文小标宋" w:cs="方正公文小标宋"/>
          <w:b w:val="0"/>
          <w:bCs w:val="0"/>
          <w:i w:val="0"/>
          <w:iCs w:val="0"/>
          <w:caps w:val="0"/>
          <w:color w:val="333333"/>
          <w:spacing w:val="0"/>
          <w:sz w:val="44"/>
          <w:szCs w:val="44"/>
          <w:shd w:val="clear" w:fill="FFFFFF"/>
        </w:rPr>
        <w:t>关于开展202</w:t>
      </w:r>
      <w:r>
        <w:rPr>
          <w:rFonts w:hint="eastAsia" w:ascii="方正公文小标宋" w:hAnsi="方正公文小标宋" w:eastAsia="方正公文小标宋" w:cs="方正公文小标宋"/>
          <w:b w:val="0"/>
          <w:bCs w:val="0"/>
          <w:i w:val="0"/>
          <w:iCs w:val="0"/>
          <w:caps w:val="0"/>
          <w:color w:val="333333"/>
          <w:spacing w:val="0"/>
          <w:sz w:val="44"/>
          <w:szCs w:val="44"/>
          <w:shd w:val="clear" w:fill="FFFFFF"/>
          <w:lang w:val="en-US" w:eastAsia="zh-CN"/>
        </w:rPr>
        <w:t>5</w:t>
      </w:r>
      <w:r>
        <w:rPr>
          <w:rFonts w:hint="eastAsia" w:ascii="方正公文小标宋" w:hAnsi="方正公文小标宋" w:eastAsia="方正公文小标宋" w:cs="方正公文小标宋"/>
          <w:b w:val="0"/>
          <w:bCs w:val="0"/>
          <w:i w:val="0"/>
          <w:iCs w:val="0"/>
          <w:caps w:val="0"/>
          <w:color w:val="333333"/>
          <w:spacing w:val="0"/>
          <w:sz w:val="44"/>
          <w:szCs w:val="44"/>
          <w:shd w:val="clear" w:fill="FFFFFF"/>
        </w:rPr>
        <w:t>年课程思政示范课程和优秀案例评选活动的通知</w:t>
      </w:r>
    </w:p>
    <w:p w14:paraId="19F0011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60" w:lineRule="exact"/>
        <w:ind w:right="0"/>
        <w:textAlignment w:val="auto"/>
        <w:rPr>
          <w:rFonts w:hint="eastAsia" w:ascii="仿宋_GB2312" w:hAnsi="仿宋_GB2312" w:eastAsia="仿宋_GB2312" w:cs="仿宋_GB2312"/>
          <w:i w:val="0"/>
          <w:iCs w:val="0"/>
          <w:caps w:val="0"/>
          <w:color w:val="000000"/>
          <w:spacing w:val="0"/>
          <w:sz w:val="32"/>
          <w:szCs w:val="32"/>
          <w:shd w:val="clear" w:fill="FFFFFF"/>
        </w:rPr>
      </w:pPr>
    </w:p>
    <w:p w14:paraId="4E8D900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60" w:lineRule="exact"/>
        <w:ind w:right="0"/>
        <w:textAlignment w:val="auto"/>
        <w:rPr>
          <w:rFonts w:hint="eastAsia" w:ascii="仿宋_GB2312" w:hAnsi="仿宋_GB2312" w:eastAsia="仿宋_GB2312" w:cs="仿宋_GB2312"/>
          <w:i w:val="0"/>
          <w:iCs w:val="0"/>
          <w:caps w:val="0"/>
          <w:color w:val="000000"/>
          <w:spacing w:val="0"/>
          <w:sz w:val="32"/>
          <w:szCs w:val="32"/>
          <w:shd w:val="clear" w:fill="FFFFFF"/>
        </w:rPr>
      </w:pPr>
      <w:r>
        <w:rPr>
          <w:rFonts w:hint="eastAsia" w:ascii="仿宋_GB2312" w:hAnsi="仿宋_GB2312" w:eastAsia="仿宋_GB2312" w:cs="仿宋_GB2312"/>
          <w:i w:val="0"/>
          <w:iCs w:val="0"/>
          <w:caps w:val="0"/>
          <w:color w:val="000000"/>
          <w:spacing w:val="0"/>
          <w:sz w:val="32"/>
          <w:szCs w:val="32"/>
          <w:shd w:val="clear" w:fill="FFFFFF"/>
        </w:rPr>
        <w:t>各部门各单位：</w:t>
      </w:r>
    </w:p>
    <w:p w14:paraId="6BEA9AF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60" w:lineRule="exact"/>
        <w:ind w:left="0" w:right="0" w:firstLine="516"/>
        <w:jc w:val="both"/>
        <w:textAlignment w:val="auto"/>
        <w:rPr>
          <w:rFonts w:hint="eastAsia" w:ascii="仿宋_GB2312" w:hAnsi="仿宋_GB2312" w:eastAsia="仿宋_GB2312" w:cs="仿宋_GB2312"/>
          <w:i w:val="0"/>
          <w:iCs w:val="0"/>
          <w:caps w:val="0"/>
          <w:color w:val="000000"/>
          <w:spacing w:val="0"/>
          <w:sz w:val="32"/>
          <w:szCs w:val="32"/>
          <w:shd w:val="clear" w:fill="FFFFFF"/>
        </w:rPr>
      </w:pPr>
      <w:r>
        <w:rPr>
          <w:rFonts w:hint="eastAsia" w:ascii="仿宋_GB2312" w:hAnsi="仿宋_GB2312" w:eastAsia="仿宋_GB2312" w:cs="仿宋_GB2312"/>
          <w:i w:val="0"/>
          <w:iCs w:val="0"/>
          <w:caps w:val="0"/>
          <w:color w:val="000000"/>
          <w:spacing w:val="0"/>
          <w:sz w:val="32"/>
          <w:szCs w:val="32"/>
          <w:shd w:val="clear" w:fill="FFFFFF"/>
          <w:lang w:val="en-US" w:eastAsia="zh-CN"/>
        </w:rPr>
        <w:t>为深入贯彻落实党的二十大和二十届二中、三中全会精神、全国教育大会精神，深入推进课程思政，把习近平新时代中国特色社会主义思想贯穿教育教学全过程，加快推进我校课程思政高质量建设，根据《教育部关于印发〈高等学校课程思政建设指导纲要〉的通知》（教高〔2020〕3号），按照《山东省教育厅关于深入推进高等学校课程思政建设的实施意见》（鲁教高字〔2021〕4号）及</w:t>
      </w:r>
      <w:r>
        <w:rPr>
          <w:rFonts w:hint="eastAsia" w:ascii="仿宋_GB2312" w:hAnsi="仿宋_GB2312" w:eastAsia="仿宋_GB2312" w:cs="仿宋_GB2312"/>
          <w:i w:val="0"/>
          <w:iCs w:val="0"/>
          <w:caps w:val="0"/>
          <w:color w:val="000000"/>
          <w:spacing w:val="0"/>
          <w:sz w:val="32"/>
          <w:szCs w:val="32"/>
          <w:shd w:val="clear" w:fill="FFFFFF"/>
        </w:rPr>
        <w:t>《泰山学院关于进一步加强课程思政建设工作的实施方案》（泰院政发</w:t>
      </w:r>
      <w:r>
        <w:rPr>
          <w:rFonts w:hint="eastAsia" w:ascii="仿宋_GB2312" w:hAnsi="仿宋_GB2312" w:eastAsia="仿宋_GB2312" w:cs="仿宋_GB2312"/>
          <w:i w:val="0"/>
          <w:iCs w:val="0"/>
          <w:caps w:val="0"/>
          <w:color w:val="000000"/>
          <w:spacing w:val="0"/>
          <w:sz w:val="32"/>
          <w:szCs w:val="32"/>
          <w:shd w:val="clear" w:fill="FFFFFF"/>
          <w:lang w:val="en-US" w:eastAsia="zh-CN"/>
        </w:rPr>
        <w:t>〔2021〕</w:t>
      </w:r>
      <w:r>
        <w:rPr>
          <w:rFonts w:hint="eastAsia" w:ascii="仿宋_GB2312" w:hAnsi="仿宋_GB2312" w:eastAsia="仿宋_GB2312" w:cs="仿宋_GB2312"/>
          <w:i w:val="0"/>
          <w:iCs w:val="0"/>
          <w:caps w:val="0"/>
          <w:color w:val="000000"/>
          <w:spacing w:val="0"/>
          <w:sz w:val="32"/>
          <w:szCs w:val="32"/>
          <w:shd w:val="clear" w:fill="FFFFFF"/>
        </w:rPr>
        <w:t>19号）</w:t>
      </w:r>
      <w:r>
        <w:rPr>
          <w:rFonts w:hint="eastAsia" w:ascii="仿宋_GB2312" w:hAnsi="仿宋_GB2312" w:eastAsia="仿宋_GB2312" w:cs="仿宋_GB2312"/>
          <w:i w:val="0"/>
          <w:iCs w:val="0"/>
          <w:caps w:val="0"/>
          <w:color w:val="000000"/>
          <w:spacing w:val="0"/>
          <w:sz w:val="32"/>
          <w:szCs w:val="32"/>
          <w:shd w:val="clear" w:fill="FFFFFF"/>
          <w:lang w:val="en-US" w:eastAsia="zh-CN"/>
        </w:rPr>
        <w:t>部署安排，经研究，学校</w:t>
      </w:r>
      <w:r>
        <w:rPr>
          <w:rFonts w:hint="eastAsia" w:ascii="仿宋_GB2312" w:hAnsi="仿宋_GB2312" w:eastAsia="仿宋_GB2312" w:cs="仿宋_GB2312"/>
          <w:i w:val="0"/>
          <w:iCs w:val="0"/>
          <w:caps w:val="0"/>
          <w:color w:val="000000"/>
          <w:spacing w:val="0"/>
          <w:sz w:val="32"/>
          <w:szCs w:val="32"/>
          <w:shd w:val="clear" w:fill="FFFFFF"/>
        </w:rPr>
        <w:t>开展202</w:t>
      </w:r>
      <w:r>
        <w:rPr>
          <w:rFonts w:hint="eastAsia" w:ascii="仿宋_GB2312" w:hAnsi="仿宋_GB2312" w:eastAsia="仿宋_GB2312" w:cs="仿宋_GB2312"/>
          <w:i w:val="0"/>
          <w:iCs w:val="0"/>
          <w:caps w:val="0"/>
          <w:color w:val="000000"/>
          <w:spacing w:val="0"/>
          <w:sz w:val="32"/>
          <w:szCs w:val="32"/>
          <w:shd w:val="clear" w:fill="FFFFFF"/>
          <w:lang w:val="en-US" w:eastAsia="zh-CN"/>
        </w:rPr>
        <w:t>5</w:t>
      </w:r>
      <w:r>
        <w:rPr>
          <w:rFonts w:hint="eastAsia" w:ascii="仿宋_GB2312" w:hAnsi="仿宋_GB2312" w:eastAsia="仿宋_GB2312" w:cs="仿宋_GB2312"/>
          <w:i w:val="0"/>
          <w:iCs w:val="0"/>
          <w:caps w:val="0"/>
          <w:color w:val="000000"/>
          <w:spacing w:val="0"/>
          <w:sz w:val="32"/>
          <w:szCs w:val="32"/>
          <w:shd w:val="clear" w:fill="FFFFFF"/>
        </w:rPr>
        <w:t>年度课程思政示范课程和优秀案例评选活动，现将有关事宜通知如下：</w:t>
      </w:r>
    </w:p>
    <w:p w14:paraId="20BE97B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60" w:lineRule="exact"/>
        <w:ind w:right="0" w:firstLine="640" w:firstLineChars="200"/>
        <w:textAlignment w:val="auto"/>
        <w:rPr>
          <w:rFonts w:hint="eastAsia" w:ascii="仿宋_GB2312" w:hAnsi="仿宋_GB2312" w:eastAsia="仿宋_GB2312" w:cs="仿宋_GB2312"/>
          <w:b/>
          <w:bCs/>
          <w:i w:val="0"/>
          <w:iCs w:val="0"/>
          <w:caps w:val="0"/>
          <w:color w:val="333333"/>
          <w:spacing w:val="0"/>
          <w:sz w:val="32"/>
          <w:szCs w:val="32"/>
        </w:rPr>
      </w:pPr>
      <w:r>
        <w:rPr>
          <w:rFonts w:hint="eastAsia" w:ascii="黑体" w:hAnsi="黑体" w:eastAsia="黑体" w:cs="黑体"/>
          <w:b w:val="0"/>
          <w:bCs w:val="0"/>
          <w:i w:val="0"/>
          <w:iCs w:val="0"/>
          <w:caps w:val="0"/>
          <w:color w:val="000000"/>
          <w:spacing w:val="0"/>
          <w:sz w:val="32"/>
          <w:szCs w:val="32"/>
          <w:shd w:val="clear" w:fill="FFFFFF"/>
        </w:rPr>
        <w:t>一、指导思想</w:t>
      </w:r>
    </w:p>
    <w:p w14:paraId="6968961B">
      <w:pPr>
        <w:keepNext w:val="0"/>
        <w:keepLines w:val="0"/>
        <w:pageBreakBefore w:val="0"/>
        <w:widowControl/>
        <w:suppressLineNumbers w:val="0"/>
        <w:kinsoku/>
        <w:wordWrap/>
        <w:overflowPunct/>
        <w:topLinePunct w:val="0"/>
        <w:autoSpaceDE/>
        <w:autoSpaceDN/>
        <w:bidi w:val="0"/>
        <w:adjustRightInd w:val="0"/>
        <w:snapToGrid w:val="0"/>
        <w:spacing w:line="560" w:lineRule="exact"/>
        <w:ind w:firstLine="640" w:firstLineChars="200"/>
        <w:jc w:val="both"/>
        <w:textAlignment w:val="auto"/>
        <w:rPr>
          <w:rFonts w:hint="eastAsia" w:ascii="黑体" w:hAnsi="黑体" w:eastAsia="黑体" w:cs="黑体"/>
          <w:b w:val="0"/>
          <w:bCs w:val="0"/>
          <w:i w:val="0"/>
          <w:iCs w:val="0"/>
          <w:caps w:val="0"/>
          <w:color w:val="000000"/>
          <w:spacing w:val="0"/>
          <w:sz w:val="32"/>
          <w:szCs w:val="32"/>
          <w:shd w:val="clear" w:fill="FFFFFF"/>
        </w:rPr>
      </w:pPr>
      <w:r>
        <w:rPr>
          <w:rFonts w:hint="eastAsia" w:ascii="仿宋_GB2312" w:hAnsi="仿宋_GB2312" w:eastAsia="仿宋_GB2312" w:cs="仿宋_GB2312"/>
          <w:i w:val="0"/>
          <w:iCs w:val="0"/>
          <w:caps w:val="0"/>
          <w:color w:val="000000"/>
          <w:spacing w:val="0"/>
          <w:kern w:val="0"/>
          <w:sz w:val="32"/>
          <w:szCs w:val="32"/>
          <w:shd w:val="clear" w:fill="FFFFFF"/>
          <w:lang w:val="en-US" w:eastAsia="zh-CN" w:bidi="ar"/>
        </w:rPr>
        <w:t>以习近平新时代中国特色社会主义思想为指导，落实立德树人根本任务，聚焦课程育人关键环节、专业育人关键领域，充分发挥教师队伍“主力军”、课程建设“主战场”、课堂教学“主渠道”作用，坚持示范引领，强化资源共享，将价值塑造、知识传授和能力培养融为一体，推进课程思政与思政课程同向同行、同频共振，有效助力高校内涵式发展。</w:t>
      </w:r>
    </w:p>
    <w:p w14:paraId="172C29F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60" w:lineRule="exact"/>
        <w:ind w:right="0" w:firstLine="640" w:firstLineChars="200"/>
        <w:textAlignment w:val="auto"/>
        <w:rPr>
          <w:rFonts w:hint="eastAsia" w:ascii="黑体" w:hAnsi="黑体" w:eastAsia="黑体" w:cs="黑体"/>
          <w:b w:val="0"/>
          <w:bCs w:val="0"/>
          <w:i w:val="0"/>
          <w:iCs w:val="0"/>
          <w:caps w:val="0"/>
          <w:color w:val="000000"/>
          <w:spacing w:val="0"/>
          <w:sz w:val="32"/>
          <w:szCs w:val="32"/>
          <w:shd w:val="clear" w:fill="FFFFFF"/>
        </w:rPr>
      </w:pPr>
      <w:r>
        <w:rPr>
          <w:rFonts w:hint="eastAsia" w:ascii="黑体" w:hAnsi="黑体" w:eastAsia="黑体" w:cs="黑体"/>
          <w:b w:val="0"/>
          <w:bCs w:val="0"/>
          <w:i w:val="0"/>
          <w:iCs w:val="0"/>
          <w:caps w:val="0"/>
          <w:color w:val="000000"/>
          <w:spacing w:val="0"/>
          <w:sz w:val="32"/>
          <w:szCs w:val="32"/>
          <w:shd w:val="clear" w:fill="FFFFFF"/>
        </w:rPr>
        <w:t>二、评选目标</w:t>
      </w:r>
    </w:p>
    <w:p w14:paraId="57AADD9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60" w:lineRule="exact"/>
        <w:ind w:left="0" w:right="0" w:firstLine="516"/>
        <w:jc w:val="both"/>
        <w:textAlignment w:val="auto"/>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000000"/>
          <w:spacing w:val="0"/>
          <w:sz w:val="32"/>
          <w:szCs w:val="32"/>
          <w:shd w:val="clear" w:fill="FFFFFF"/>
        </w:rPr>
        <w:t>通过课程思政示范课程和优秀教学案例评选，选拔并培育一批充满德育元素和发挥德育功能的优秀课程，评选并推广一批课程思政优秀教学案例，深化新时代以“课程思政”为目标的课堂教学改革，充分发挥课程的育人价值和课堂的主渠道育人作用，促进各类课程与思想政治理论课同向同行，形成协同育人效应。</w:t>
      </w:r>
    </w:p>
    <w:p w14:paraId="3146BC5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60" w:lineRule="exact"/>
        <w:ind w:right="0" w:firstLine="640" w:firstLineChars="200"/>
        <w:textAlignment w:val="auto"/>
        <w:rPr>
          <w:rFonts w:hint="eastAsia" w:ascii="黑体" w:hAnsi="黑体" w:eastAsia="黑体" w:cs="黑体"/>
          <w:b w:val="0"/>
          <w:bCs w:val="0"/>
          <w:i w:val="0"/>
          <w:iCs w:val="0"/>
          <w:caps w:val="0"/>
          <w:color w:val="000000"/>
          <w:spacing w:val="0"/>
          <w:sz w:val="32"/>
          <w:szCs w:val="32"/>
          <w:shd w:val="clear" w:fill="FFFFFF"/>
        </w:rPr>
      </w:pPr>
      <w:r>
        <w:rPr>
          <w:rFonts w:hint="eastAsia" w:ascii="黑体" w:hAnsi="黑体" w:eastAsia="黑体" w:cs="黑体"/>
          <w:b w:val="0"/>
          <w:bCs w:val="0"/>
          <w:i w:val="0"/>
          <w:iCs w:val="0"/>
          <w:caps w:val="0"/>
          <w:color w:val="000000"/>
          <w:spacing w:val="0"/>
          <w:sz w:val="32"/>
          <w:szCs w:val="32"/>
          <w:shd w:val="clear" w:fill="FFFFFF"/>
        </w:rPr>
        <w:t>三、申报条件</w:t>
      </w:r>
    </w:p>
    <w:p w14:paraId="04D328B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60" w:lineRule="exact"/>
        <w:ind w:right="0" w:firstLine="643" w:firstLineChars="200"/>
        <w:textAlignment w:val="auto"/>
        <w:rPr>
          <w:rFonts w:hint="eastAsia" w:ascii="仿宋_GB2312" w:hAnsi="仿宋_GB2312" w:eastAsia="仿宋_GB2312" w:cs="仿宋_GB2312"/>
          <w:b/>
          <w:bCs/>
          <w:i w:val="0"/>
          <w:iCs w:val="0"/>
          <w:caps w:val="0"/>
          <w:color w:val="333333"/>
          <w:spacing w:val="0"/>
          <w:sz w:val="32"/>
          <w:szCs w:val="32"/>
        </w:rPr>
      </w:pPr>
      <w:r>
        <w:rPr>
          <w:rFonts w:hint="eastAsia" w:ascii="仿宋_GB2312" w:hAnsi="仿宋_GB2312" w:eastAsia="仿宋_GB2312" w:cs="仿宋_GB2312"/>
          <w:b/>
          <w:bCs/>
          <w:i w:val="0"/>
          <w:iCs w:val="0"/>
          <w:caps w:val="0"/>
          <w:color w:val="000000"/>
          <w:spacing w:val="0"/>
          <w:sz w:val="32"/>
          <w:szCs w:val="32"/>
          <w:shd w:val="clear" w:fill="FFFFFF"/>
        </w:rPr>
        <w:t>（一）课程思政示范课程申报</w:t>
      </w:r>
    </w:p>
    <w:p w14:paraId="2657D21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1.申报课程为非思想政治理论课。课程已纳入人才培养方案或专业考试计划，实施学分管理</w:t>
      </w:r>
      <w:bookmarkStart w:id="0" w:name="_GoBack"/>
      <w:r>
        <w:rPr>
          <w:rFonts w:hint="eastAsia" w:ascii="仿宋_GB2312" w:hAnsi="仿宋_GB2312" w:eastAsia="仿宋_GB2312" w:cs="仿宋_GB2312"/>
          <w:color w:val="000000"/>
          <w:kern w:val="0"/>
          <w:sz w:val="32"/>
          <w:szCs w:val="32"/>
          <w:lang w:val="en-US" w:eastAsia="zh-CN" w:bidi="ar"/>
        </w:rPr>
        <w:t>，</w:t>
      </w:r>
      <w:bookmarkEnd w:id="0"/>
      <w:r>
        <w:rPr>
          <w:rFonts w:hint="eastAsia" w:ascii="仿宋_GB2312" w:hAnsi="仿宋_GB2312" w:eastAsia="仿宋_GB2312" w:cs="仿宋_GB2312"/>
          <w:color w:val="000000"/>
          <w:kern w:val="0"/>
          <w:sz w:val="32"/>
          <w:szCs w:val="32"/>
          <w:lang w:val="en-US" w:eastAsia="zh-CN" w:bidi="ar"/>
        </w:rPr>
        <w:t>并在申报截止日前至少经过两个教学周期（跨学期课程，至少开设两个学年或两个年度，其他课程至少开设两个学期）的建设和完善。</w:t>
      </w:r>
    </w:p>
    <w:p w14:paraId="5BF545B4">
      <w:pPr>
        <w:keepNext w:val="0"/>
        <w:keepLines w:val="0"/>
        <w:pageBreakBefore w:val="0"/>
        <w:widowControl/>
        <w:suppressLineNumbers w:val="0"/>
        <w:kinsoku/>
        <w:wordWrap/>
        <w:overflowPunct/>
        <w:topLinePunct w:val="0"/>
        <w:autoSpaceDE/>
        <w:autoSpaceDN/>
        <w:bidi w:val="0"/>
        <w:adjustRightInd w:val="0"/>
        <w:snapToGrid w:val="0"/>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val="en-US" w:eastAsia="zh-CN" w:bidi="ar"/>
        </w:rPr>
        <w:t>2.课程注重坚持守正创新，注重将课程建设目标与专业人才培养目标相统一，科学设计课程知识体系，传授具有经济价值、社会价值、生态价值的新思想、新理论、新方法，有效服务“四新”专业建设。</w:t>
      </w:r>
    </w:p>
    <w:p w14:paraId="273748E3">
      <w:pPr>
        <w:keepNext w:val="0"/>
        <w:keepLines w:val="0"/>
        <w:pageBreakBefore w:val="0"/>
        <w:widowControl/>
        <w:suppressLineNumbers w:val="0"/>
        <w:kinsoku/>
        <w:wordWrap/>
        <w:overflowPunct/>
        <w:topLinePunct w:val="0"/>
        <w:autoSpaceDE/>
        <w:autoSpaceDN/>
        <w:bidi w:val="0"/>
        <w:adjustRightInd w:val="0"/>
        <w:snapToGrid w:val="0"/>
        <w:spacing w:line="560" w:lineRule="exact"/>
        <w:ind w:firstLine="640" w:firstLineChars="200"/>
        <w:jc w:val="both"/>
        <w:textAlignment w:val="auto"/>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3.课程坚持“以学生发展为中心”，注重价值塑造、知识传授与能力培养相统一，能够结合所在学科专业、所属课程类型的育人要求和特点，深入挖掘课程自身蕴含的思政资源，并科学有机融入教学内容体系，体现思想性、时代性和专业特色，有效实现教书、育人相统一。</w:t>
      </w:r>
    </w:p>
    <w:p w14:paraId="796E2813">
      <w:pPr>
        <w:keepNext w:val="0"/>
        <w:keepLines w:val="0"/>
        <w:pageBreakBefore w:val="0"/>
        <w:widowControl/>
        <w:suppressLineNumbers w:val="0"/>
        <w:kinsoku/>
        <w:wordWrap/>
        <w:overflowPunct/>
        <w:topLinePunct w:val="0"/>
        <w:autoSpaceDE/>
        <w:autoSpaceDN/>
        <w:bidi w:val="0"/>
        <w:adjustRightInd w:val="0"/>
        <w:snapToGrid w:val="0"/>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val="en-US" w:eastAsia="zh-CN" w:bidi="ar"/>
        </w:rPr>
        <w:t>4.课程注重教学方法创新，科学设计课程目标和教案课件，教学内容、方法及实施过程遵循教学理念，体现先进性、针对性与创新性，教学目标达成度高，形成可供同类课程借鉴共享的经验、成果和模式。</w:t>
      </w:r>
    </w:p>
    <w:p w14:paraId="45686D2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60" w:lineRule="exact"/>
        <w:ind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val="en-US" w:eastAsia="zh-CN" w:bidi="ar"/>
        </w:rPr>
        <w:t>5.课程可由一名教师讲授，也可由教学团队共同讲授。授课教师应为学校专任教师，政治立场坚定，师德师风良好。课程负责人能够准确把握本课程开展课程思政建设的方向和重点，并融入课程教学全过程。课程教学团队人员结构合理，任务分工明确，集体教研制度完善且有效实施，经常性开展课程思政建设教学研究和交流，课程思政建设整体水平高。课程负责人及团队其他主要成员总人数原则上不超过8人。</w:t>
      </w:r>
    </w:p>
    <w:p w14:paraId="581B531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60" w:lineRule="exact"/>
        <w:ind w:right="0" w:firstLine="640" w:firstLineChars="200"/>
        <w:jc w:val="both"/>
        <w:textAlignment w:val="auto"/>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6.课程考核方式和评价办法完善，育人效果显著，学生评教结果优秀，校内外同行专家评价良好，形成较高水平的课程思政展示成果，具有较强辐射推广价值。</w:t>
      </w:r>
    </w:p>
    <w:p w14:paraId="49ABA0B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60" w:lineRule="exact"/>
        <w:ind w:right="0" w:firstLine="640" w:firstLineChars="200"/>
        <w:jc w:val="both"/>
        <w:textAlignment w:val="auto"/>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7.已获批教育部、山东省课程思政示范课程的课程负责人及团队成员，不得再以课程负责人身份申报同一门课程。</w:t>
      </w:r>
    </w:p>
    <w:p w14:paraId="38EBC19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60" w:lineRule="exact"/>
        <w:ind w:right="0" w:firstLine="643" w:firstLineChars="200"/>
        <w:textAlignment w:val="auto"/>
        <w:rPr>
          <w:rFonts w:hint="eastAsia" w:ascii="仿宋_GB2312" w:hAnsi="仿宋_GB2312" w:eastAsia="仿宋_GB2312" w:cs="仿宋_GB2312"/>
          <w:b/>
          <w:bCs/>
          <w:i w:val="0"/>
          <w:iCs w:val="0"/>
          <w:caps w:val="0"/>
          <w:color w:val="333333"/>
          <w:spacing w:val="0"/>
          <w:sz w:val="32"/>
          <w:szCs w:val="32"/>
        </w:rPr>
      </w:pPr>
      <w:r>
        <w:rPr>
          <w:rFonts w:hint="eastAsia" w:ascii="仿宋_GB2312" w:hAnsi="仿宋_GB2312" w:eastAsia="仿宋_GB2312" w:cs="仿宋_GB2312"/>
          <w:b/>
          <w:bCs/>
          <w:i w:val="0"/>
          <w:iCs w:val="0"/>
          <w:caps w:val="0"/>
          <w:color w:val="000000"/>
          <w:spacing w:val="0"/>
          <w:sz w:val="32"/>
          <w:szCs w:val="32"/>
          <w:shd w:val="clear" w:fill="FFFFFF"/>
        </w:rPr>
        <w:t>（二）课程思政典型案例申报</w:t>
      </w:r>
    </w:p>
    <w:p w14:paraId="2E1010C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60" w:lineRule="exact"/>
        <w:ind w:right="0" w:firstLine="640" w:firstLineChars="200"/>
        <w:textAlignment w:val="auto"/>
        <w:rPr>
          <w:rFonts w:hint="eastAsia" w:ascii="仿宋_GB2312" w:hAnsi="仿宋_GB2312" w:eastAsia="仿宋_GB2312" w:cs="仿宋_GB2312"/>
          <w:i w:val="0"/>
          <w:iCs w:val="0"/>
          <w:caps w:val="0"/>
          <w:color w:val="000000"/>
          <w:spacing w:val="0"/>
          <w:sz w:val="32"/>
          <w:szCs w:val="32"/>
          <w:shd w:val="clear" w:fill="FFFFFF"/>
        </w:rPr>
      </w:pPr>
      <w:r>
        <w:rPr>
          <w:rFonts w:hint="eastAsia" w:ascii="仿宋_GB2312" w:hAnsi="仿宋_GB2312" w:eastAsia="仿宋_GB2312" w:cs="仿宋_GB2312"/>
          <w:i w:val="0"/>
          <w:iCs w:val="0"/>
          <w:caps w:val="0"/>
          <w:color w:val="000000"/>
          <w:spacing w:val="0"/>
          <w:sz w:val="32"/>
          <w:szCs w:val="32"/>
          <w:shd w:val="clear" w:fill="FFFFFF"/>
        </w:rPr>
        <w:t>1.申报课程思政教学的教师应为我校专任教师，坚持党的基本路线和教育方针，热爱教育事业，治学严谨，为人师表，具有较高的思想文化修养、高尚的职业道德和先进的教学理念。</w:t>
      </w:r>
    </w:p>
    <w:p w14:paraId="2B5BD60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60" w:lineRule="exact"/>
        <w:ind w:right="0" w:firstLine="640" w:firstLineChars="200"/>
        <w:jc w:val="both"/>
        <w:textAlignment w:val="auto"/>
        <w:rPr>
          <w:rFonts w:hint="eastAsia" w:ascii="仿宋_GB2312" w:hAnsi="仿宋_GB2312" w:eastAsia="仿宋_GB2312" w:cs="仿宋_GB2312"/>
          <w:i w:val="0"/>
          <w:iCs w:val="0"/>
          <w:caps w:val="0"/>
          <w:color w:val="000000"/>
          <w:spacing w:val="0"/>
          <w:sz w:val="32"/>
          <w:szCs w:val="32"/>
          <w:shd w:val="clear" w:fill="FFFFFF"/>
        </w:rPr>
      </w:pPr>
      <w:r>
        <w:rPr>
          <w:rFonts w:hint="eastAsia" w:ascii="仿宋_GB2312" w:hAnsi="仿宋_GB2312" w:eastAsia="仿宋_GB2312" w:cs="仿宋_GB2312"/>
          <w:i w:val="0"/>
          <w:iCs w:val="0"/>
          <w:caps w:val="0"/>
          <w:color w:val="000000"/>
          <w:spacing w:val="0"/>
          <w:sz w:val="32"/>
          <w:szCs w:val="32"/>
          <w:shd w:val="clear" w:fill="FFFFFF"/>
          <w:lang w:val="en-US" w:eastAsia="zh-CN"/>
        </w:rPr>
        <w:t>2.</w:t>
      </w:r>
      <w:r>
        <w:rPr>
          <w:rFonts w:hint="eastAsia" w:ascii="仿宋_GB2312" w:hAnsi="仿宋_GB2312" w:eastAsia="仿宋_GB2312" w:cs="仿宋_GB2312"/>
          <w:i w:val="0"/>
          <w:iCs w:val="0"/>
          <w:caps w:val="0"/>
          <w:color w:val="000000"/>
          <w:spacing w:val="0"/>
          <w:sz w:val="32"/>
          <w:szCs w:val="32"/>
          <w:shd w:val="clear" w:fill="FFFFFF"/>
        </w:rPr>
        <w:t>申报课程为非</w:t>
      </w:r>
      <w:r>
        <w:rPr>
          <w:rFonts w:hint="eastAsia" w:ascii="仿宋_GB2312" w:hAnsi="仿宋_GB2312" w:eastAsia="仿宋_GB2312" w:cs="仿宋_GB2312"/>
          <w:i w:val="0"/>
          <w:iCs w:val="0"/>
          <w:caps w:val="0"/>
          <w:color w:val="000000"/>
          <w:spacing w:val="0"/>
          <w:sz w:val="32"/>
          <w:szCs w:val="32"/>
          <w:shd w:val="clear" w:fill="FFFFFF"/>
          <w:lang w:val="en-US" w:eastAsia="zh-CN"/>
        </w:rPr>
        <w:t>思想政治理论课</w:t>
      </w:r>
      <w:r>
        <w:rPr>
          <w:rFonts w:hint="eastAsia" w:ascii="仿宋_GB2312" w:hAnsi="仿宋_GB2312" w:eastAsia="仿宋_GB2312" w:cs="仿宋_GB2312"/>
          <w:i w:val="0"/>
          <w:iCs w:val="0"/>
          <w:caps w:val="0"/>
          <w:color w:val="000000"/>
          <w:spacing w:val="0"/>
          <w:sz w:val="32"/>
          <w:szCs w:val="32"/>
          <w:shd w:val="clear" w:fill="FFFFFF"/>
          <w:lang w:eastAsia="zh-CN"/>
        </w:rPr>
        <w:t>，</w:t>
      </w:r>
      <w:r>
        <w:rPr>
          <w:rFonts w:hint="eastAsia" w:ascii="仿宋_GB2312" w:hAnsi="仿宋_GB2312" w:eastAsia="仿宋_GB2312" w:cs="仿宋_GB2312"/>
          <w:i w:val="0"/>
          <w:iCs w:val="0"/>
          <w:caps w:val="0"/>
          <w:color w:val="000000"/>
          <w:spacing w:val="0"/>
          <w:sz w:val="32"/>
          <w:szCs w:val="32"/>
          <w:shd w:val="clear" w:fill="FFFFFF"/>
        </w:rPr>
        <w:t>学校</w:t>
      </w:r>
      <w:r>
        <w:rPr>
          <w:rFonts w:hint="eastAsia" w:ascii="仿宋_GB2312" w:hAnsi="仿宋_GB2312" w:eastAsia="仿宋_GB2312" w:cs="仿宋_GB2312"/>
          <w:i w:val="0"/>
          <w:iCs w:val="0"/>
          <w:caps w:val="0"/>
          <w:color w:val="000000"/>
          <w:spacing w:val="0"/>
          <w:sz w:val="32"/>
          <w:szCs w:val="32"/>
          <w:shd w:val="clear" w:fill="FFFFFF"/>
          <w:lang w:val="en-US" w:eastAsia="zh-CN"/>
        </w:rPr>
        <w:t>及以上</w:t>
      </w:r>
      <w:r>
        <w:rPr>
          <w:rFonts w:hint="eastAsia" w:ascii="仿宋_GB2312" w:hAnsi="仿宋_GB2312" w:eastAsia="仿宋_GB2312" w:cs="仿宋_GB2312"/>
          <w:i w:val="0"/>
          <w:iCs w:val="0"/>
          <w:caps w:val="0"/>
          <w:color w:val="000000"/>
          <w:spacing w:val="0"/>
          <w:sz w:val="32"/>
          <w:szCs w:val="32"/>
          <w:shd w:val="clear" w:fill="FFFFFF"/>
        </w:rPr>
        <w:t>一流课程优先申报。</w:t>
      </w:r>
    </w:p>
    <w:p w14:paraId="42F3310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60" w:lineRule="exact"/>
        <w:ind w:right="0" w:firstLine="640" w:firstLineChars="200"/>
        <w:jc w:val="both"/>
        <w:textAlignment w:val="auto"/>
        <w:rPr>
          <w:rFonts w:hint="eastAsia" w:ascii="仿宋_GB2312" w:hAnsi="仿宋_GB2312" w:eastAsia="仿宋_GB2312" w:cs="仿宋_GB2312"/>
          <w:i w:val="0"/>
          <w:iCs w:val="0"/>
          <w:caps w:val="0"/>
          <w:color w:val="000000"/>
          <w:spacing w:val="0"/>
          <w:sz w:val="32"/>
          <w:szCs w:val="32"/>
          <w:shd w:val="clear" w:fill="FFFFFF"/>
        </w:rPr>
      </w:pPr>
      <w:r>
        <w:rPr>
          <w:rFonts w:hint="eastAsia" w:ascii="仿宋_GB2312" w:hAnsi="仿宋_GB2312" w:eastAsia="仿宋_GB2312" w:cs="仿宋_GB2312"/>
          <w:i w:val="0"/>
          <w:iCs w:val="0"/>
          <w:caps w:val="0"/>
          <w:color w:val="000000"/>
          <w:spacing w:val="0"/>
          <w:sz w:val="32"/>
          <w:szCs w:val="32"/>
          <w:shd w:val="clear" w:fill="FFFFFF"/>
          <w:lang w:val="en-US" w:eastAsia="zh-CN"/>
        </w:rPr>
        <w:t>3.</w:t>
      </w:r>
      <w:r>
        <w:rPr>
          <w:rFonts w:hint="eastAsia" w:ascii="仿宋_GB2312" w:hAnsi="仿宋_GB2312" w:eastAsia="仿宋_GB2312" w:cs="仿宋_GB2312"/>
          <w:i w:val="0"/>
          <w:iCs w:val="0"/>
          <w:caps w:val="0"/>
          <w:color w:val="000000"/>
          <w:spacing w:val="0"/>
          <w:sz w:val="32"/>
          <w:szCs w:val="32"/>
          <w:shd w:val="clear" w:fill="FFFFFF"/>
        </w:rPr>
        <w:t>课程思政教学案例要强化正确的政治方向，应围绕课程教学中某一章节、教学环节或知识点展开。有明确的课程思政教学目标，突出价值引领，具有较强的针对性、时效性、创新性、示范性和可推广性。</w:t>
      </w:r>
    </w:p>
    <w:p w14:paraId="4FFFD45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60" w:lineRule="exact"/>
        <w:ind w:right="0" w:firstLine="640" w:firstLineChars="200"/>
        <w:jc w:val="both"/>
        <w:textAlignment w:val="auto"/>
        <w:rPr>
          <w:rFonts w:hint="eastAsia" w:ascii="仿宋_GB2312" w:hAnsi="仿宋_GB2312" w:eastAsia="仿宋_GB2312" w:cs="仿宋_GB2312"/>
          <w:i w:val="0"/>
          <w:iCs w:val="0"/>
          <w:caps w:val="0"/>
          <w:color w:val="000000"/>
          <w:spacing w:val="0"/>
          <w:sz w:val="32"/>
          <w:szCs w:val="32"/>
          <w:shd w:val="clear" w:fill="FFFFFF"/>
          <w:lang w:val="en-US" w:eastAsia="zh-CN"/>
        </w:rPr>
      </w:pPr>
      <w:r>
        <w:rPr>
          <w:rFonts w:hint="eastAsia" w:ascii="仿宋_GB2312" w:hAnsi="仿宋_GB2312" w:eastAsia="仿宋_GB2312" w:cs="仿宋_GB2312"/>
          <w:i w:val="0"/>
          <w:iCs w:val="0"/>
          <w:caps w:val="0"/>
          <w:color w:val="000000"/>
          <w:spacing w:val="0"/>
          <w:sz w:val="32"/>
          <w:szCs w:val="32"/>
          <w:shd w:val="clear" w:fill="FFFFFF"/>
          <w:lang w:val="en-US" w:eastAsia="zh-CN"/>
        </w:rPr>
        <w:t>4.依据课程特点，找准思政元素切入点，开放式地探索课程思政教学设计。深入挖掘课程蕴含的思政元素和所承载的育人功能，重点说明专业知识与育人元素的融合及课堂教学设计。构建课程内容、教学方法与思政育人的紧密联系，实现专业知识学习、专业能力提升与学生正确世界观、人生观、价值观形成深度统一。</w:t>
      </w:r>
    </w:p>
    <w:p w14:paraId="4EBF5E1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60" w:lineRule="exact"/>
        <w:ind w:right="0" w:firstLine="640" w:firstLineChars="200"/>
        <w:textAlignment w:val="auto"/>
        <w:rPr>
          <w:rFonts w:hint="default" w:ascii="仿宋_GB2312" w:hAnsi="仿宋_GB2312" w:eastAsia="仿宋_GB2312" w:cs="仿宋_GB2312"/>
          <w:i w:val="0"/>
          <w:iCs w:val="0"/>
          <w:caps w:val="0"/>
          <w:color w:val="000000"/>
          <w:spacing w:val="0"/>
          <w:sz w:val="32"/>
          <w:szCs w:val="32"/>
          <w:shd w:val="clear" w:fill="FFFFFF"/>
          <w:lang w:val="en-US" w:eastAsia="zh-CN"/>
        </w:rPr>
      </w:pPr>
      <w:r>
        <w:rPr>
          <w:rFonts w:hint="eastAsia" w:ascii="仿宋_GB2312" w:hAnsi="仿宋_GB2312" w:eastAsia="仿宋_GB2312" w:cs="仿宋_GB2312"/>
          <w:i w:val="0"/>
          <w:iCs w:val="0"/>
          <w:caps w:val="0"/>
          <w:color w:val="000000"/>
          <w:spacing w:val="0"/>
          <w:sz w:val="32"/>
          <w:szCs w:val="32"/>
          <w:shd w:val="clear" w:fill="FFFFFF"/>
          <w:lang w:val="en-US" w:eastAsia="zh-CN"/>
        </w:rPr>
        <w:t>5.案例设计重在深度挖掘课程的育人元素，润物无声，既不能生硬融入，也不能因为思政元素的加入而去专业化、去知识化。</w:t>
      </w:r>
    </w:p>
    <w:p w14:paraId="6FE8159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60" w:lineRule="exact"/>
        <w:ind w:right="0" w:firstLine="640" w:firstLineChars="200"/>
        <w:textAlignment w:val="auto"/>
        <w:rPr>
          <w:rFonts w:hint="default" w:ascii="仿宋_GB2312" w:hAnsi="仿宋_GB2312" w:eastAsia="仿宋_GB2312" w:cs="仿宋_GB2312"/>
          <w:i w:val="0"/>
          <w:iCs w:val="0"/>
          <w:caps w:val="0"/>
          <w:color w:val="000000"/>
          <w:spacing w:val="0"/>
          <w:sz w:val="32"/>
          <w:szCs w:val="32"/>
          <w:shd w:val="clear" w:fill="FFFFFF"/>
          <w:lang w:val="en-US" w:eastAsia="zh-CN"/>
        </w:rPr>
      </w:pPr>
      <w:r>
        <w:rPr>
          <w:rFonts w:hint="eastAsia" w:ascii="仿宋_GB2312" w:hAnsi="仿宋_GB2312" w:eastAsia="仿宋_GB2312" w:cs="仿宋_GB2312"/>
          <w:i w:val="0"/>
          <w:iCs w:val="0"/>
          <w:caps w:val="0"/>
          <w:color w:val="000000"/>
          <w:spacing w:val="0"/>
          <w:sz w:val="32"/>
          <w:szCs w:val="32"/>
          <w:shd w:val="clear" w:fill="FFFFFF"/>
          <w:lang w:val="en-US" w:eastAsia="zh-CN"/>
        </w:rPr>
        <w:t>6.体现“学生中心”与“成果导向”的教育理念，教学设计符合学生认知发展规律，案例内容完整规范，教学目标明确合理，教学方法新颖得当，评价方式多样有效。能够用学生喜欢的形式开展专业学习与思政教育。</w:t>
      </w:r>
    </w:p>
    <w:p w14:paraId="7965ED0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60" w:lineRule="exact"/>
        <w:ind w:right="0" w:firstLine="640" w:firstLineChars="200"/>
        <w:textAlignment w:val="auto"/>
        <w:rPr>
          <w:rFonts w:hint="eastAsia" w:ascii="黑体" w:hAnsi="黑体" w:eastAsia="黑体" w:cs="黑体"/>
          <w:b w:val="0"/>
          <w:bCs w:val="0"/>
          <w:i w:val="0"/>
          <w:iCs w:val="0"/>
          <w:caps w:val="0"/>
          <w:color w:val="000000"/>
          <w:spacing w:val="0"/>
          <w:sz w:val="32"/>
          <w:szCs w:val="32"/>
          <w:shd w:val="clear" w:fill="FFFFFF"/>
        </w:rPr>
      </w:pPr>
      <w:r>
        <w:rPr>
          <w:rFonts w:hint="eastAsia" w:ascii="黑体" w:hAnsi="黑体" w:eastAsia="黑体" w:cs="黑体"/>
          <w:b w:val="0"/>
          <w:bCs w:val="0"/>
          <w:i w:val="0"/>
          <w:iCs w:val="0"/>
          <w:caps w:val="0"/>
          <w:color w:val="000000"/>
          <w:spacing w:val="0"/>
          <w:sz w:val="32"/>
          <w:szCs w:val="32"/>
          <w:shd w:val="clear" w:fill="FFFFFF"/>
        </w:rPr>
        <w:t>四、评选程序</w:t>
      </w:r>
    </w:p>
    <w:p w14:paraId="41527E8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60" w:lineRule="exact"/>
        <w:ind w:right="0" w:firstLine="643" w:firstLineChars="200"/>
        <w:textAlignment w:val="auto"/>
        <w:rPr>
          <w:rFonts w:hint="eastAsia" w:ascii="仿宋_GB2312" w:hAnsi="仿宋_GB2312" w:eastAsia="仿宋_GB2312" w:cs="仿宋_GB2312"/>
          <w:b/>
          <w:bCs/>
          <w:i w:val="0"/>
          <w:iCs w:val="0"/>
          <w:caps w:val="0"/>
          <w:color w:val="333333"/>
          <w:spacing w:val="0"/>
          <w:sz w:val="32"/>
          <w:szCs w:val="32"/>
        </w:rPr>
      </w:pPr>
      <w:r>
        <w:rPr>
          <w:rStyle w:val="6"/>
          <w:rFonts w:hint="eastAsia" w:ascii="仿宋_GB2312" w:hAnsi="仿宋_GB2312" w:eastAsia="仿宋_GB2312" w:cs="仿宋_GB2312"/>
          <w:b/>
          <w:bCs/>
          <w:i w:val="0"/>
          <w:iCs w:val="0"/>
          <w:caps w:val="0"/>
          <w:color w:val="000000"/>
          <w:spacing w:val="0"/>
          <w:sz w:val="32"/>
          <w:szCs w:val="32"/>
          <w:shd w:val="clear" w:fill="FFFFFF"/>
        </w:rPr>
        <w:t>（一）课程思政示范课程</w:t>
      </w:r>
    </w:p>
    <w:p w14:paraId="7E3D446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60" w:lineRule="exact"/>
        <w:ind w:right="0" w:firstLine="640" w:firstLineChars="200"/>
        <w:textAlignment w:val="auto"/>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000000"/>
          <w:spacing w:val="0"/>
          <w:sz w:val="32"/>
          <w:szCs w:val="32"/>
          <w:shd w:val="clear" w:fill="FFFFFF"/>
        </w:rPr>
        <w:t>1.个人申请：申请人填写《泰山学院课程思政示范课程申报书》（附件1）、整理所有支撑材料，将申报书、所有支撑材料上交所在学院。</w:t>
      </w:r>
    </w:p>
    <w:p w14:paraId="6E4BADB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60" w:lineRule="exact"/>
        <w:ind w:right="0" w:firstLine="640" w:firstLineChars="200"/>
        <w:textAlignment w:val="auto"/>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000000"/>
          <w:spacing w:val="0"/>
          <w:sz w:val="32"/>
          <w:szCs w:val="32"/>
          <w:shd w:val="clear" w:fill="FFFFFF"/>
        </w:rPr>
        <w:t>2.学院初审：学院组织专家队伍初审，在确保以上材料的真实性、政治合格性、思政的典型性基础上，</w:t>
      </w:r>
      <w:r>
        <w:rPr>
          <w:rStyle w:val="6"/>
          <w:rFonts w:hint="eastAsia" w:ascii="仿宋_GB2312" w:hAnsi="仿宋_GB2312" w:eastAsia="仿宋_GB2312" w:cs="仿宋_GB2312"/>
          <w:b/>
          <w:bCs/>
          <w:i w:val="0"/>
          <w:iCs w:val="0"/>
          <w:caps w:val="0"/>
          <w:color w:val="000000"/>
          <w:spacing w:val="0"/>
          <w:sz w:val="32"/>
          <w:szCs w:val="32"/>
          <w:shd w:val="clear" w:fill="FFFFFF"/>
        </w:rPr>
        <w:t>每个</w:t>
      </w:r>
      <w:r>
        <w:rPr>
          <w:rStyle w:val="6"/>
          <w:rFonts w:hint="eastAsia" w:ascii="仿宋_GB2312" w:hAnsi="仿宋_GB2312" w:eastAsia="仿宋_GB2312" w:cs="仿宋_GB2312"/>
          <w:b/>
          <w:bCs/>
          <w:i w:val="0"/>
          <w:iCs w:val="0"/>
          <w:caps w:val="0"/>
          <w:color w:val="000000"/>
          <w:spacing w:val="0"/>
          <w:sz w:val="32"/>
          <w:szCs w:val="32"/>
          <w:shd w:val="clear" w:fill="FFFFFF"/>
          <w:lang w:val="en-US" w:eastAsia="zh-CN"/>
        </w:rPr>
        <w:t>教学单位</w:t>
      </w:r>
      <w:r>
        <w:rPr>
          <w:rFonts w:hint="eastAsia" w:ascii="仿宋_GB2312" w:hAnsi="仿宋_GB2312" w:eastAsia="仿宋_GB2312" w:cs="仿宋_GB2312"/>
          <w:b/>
          <w:bCs/>
          <w:i w:val="0"/>
          <w:iCs w:val="0"/>
          <w:caps w:val="0"/>
          <w:color w:val="000000"/>
          <w:spacing w:val="0"/>
          <w:sz w:val="32"/>
          <w:szCs w:val="32"/>
          <w:shd w:val="clear" w:fill="FFFFFF"/>
        </w:rPr>
        <w:t>原则</w:t>
      </w:r>
      <w:r>
        <w:rPr>
          <w:rFonts w:hint="eastAsia" w:ascii="仿宋_GB2312" w:hAnsi="仿宋_GB2312" w:eastAsia="仿宋_GB2312" w:cs="仿宋_GB2312"/>
          <w:b/>
          <w:bCs/>
          <w:i w:val="0"/>
          <w:iCs w:val="0"/>
          <w:caps w:val="0"/>
          <w:color w:val="000000"/>
          <w:spacing w:val="0"/>
          <w:sz w:val="32"/>
          <w:szCs w:val="32"/>
          <w:shd w:val="clear" w:fill="FFFFFF"/>
          <w:lang w:val="en-US" w:eastAsia="zh-CN"/>
        </w:rPr>
        <w:t>上</w:t>
      </w:r>
      <w:r>
        <w:rPr>
          <w:rFonts w:hint="eastAsia" w:ascii="仿宋_GB2312" w:hAnsi="仿宋_GB2312" w:eastAsia="仿宋_GB2312" w:cs="仿宋_GB2312"/>
          <w:b/>
          <w:bCs/>
          <w:i w:val="0"/>
          <w:iCs w:val="0"/>
          <w:caps w:val="0"/>
          <w:color w:val="000000"/>
          <w:spacing w:val="0"/>
          <w:sz w:val="32"/>
          <w:szCs w:val="32"/>
          <w:shd w:val="clear" w:fill="FFFFFF"/>
        </w:rPr>
        <w:t>推荐</w:t>
      </w:r>
      <w:r>
        <w:rPr>
          <w:rStyle w:val="6"/>
          <w:rFonts w:hint="eastAsia" w:ascii="仿宋_GB2312" w:hAnsi="仿宋_GB2312" w:eastAsia="仿宋_GB2312" w:cs="仿宋_GB2312"/>
          <w:b/>
          <w:bCs/>
          <w:i w:val="0"/>
          <w:iCs w:val="0"/>
          <w:caps w:val="0"/>
          <w:color w:val="000000"/>
          <w:spacing w:val="0"/>
          <w:sz w:val="32"/>
          <w:szCs w:val="32"/>
          <w:shd w:val="clear" w:fill="FFFFFF"/>
        </w:rPr>
        <w:t>最多2门课</w:t>
      </w:r>
      <w:r>
        <w:rPr>
          <w:rFonts w:hint="eastAsia" w:ascii="仿宋_GB2312" w:hAnsi="仿宋_GB2312" w:eastAsia="仿宋_GB2312" w:cs="仿宋_GB2312"/>
          <w:i w:val="0"/>
          <w:iCs w:val="0"/>
          <w:caps w:val="0"/>
          <w:color w:val="000000"/>
          <w:spacing w:val="0"/>
          <w:sz w:val="32"/>
          <w:szCs w:val="32"/>
          <w:shd w:val="clear" w:fill="FFFFFF"/>
        </w:rPr>
        <w:t>，并填写《泰山学院课程思政示范课程申报汇总表》（附件2）。</w:t>
      </w:r>
    </w:p>
    <w:p w14:paraId="3070390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60" w:lineRule="exact"/>
        <w:ind w:right="0" w:firstLine="640" w:firstLineChars="200"/>
        <w:textAlignment w:val="auto"/>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000000"/>
          <w:spacing w:val="0"/>
          <w:sz w:val="32"/>
          <w:szCs w:val="32"/>
          <w:shd w:val="clear" w:fill="FFFFFF"/>
        </w:rPr>
        <w:t>3.上报学校：申报书纸质版</w:t>
      </w:r>
      <w:r>
        <w:rPr>
          <w:rFonts w:hint="eastAsia" w:ascii="仿宋_GB2312" w:hAnsi="仿宋_GB2312" w:eastAsia="仿宋_GB2312" w:cs="仿宋_GB2312"/>
          <w:i w:val="0"/>
          <w:iCs w:val="0"/>
          <w:caps w:val="0"/>
          <w:color w:val="000000"/>
          <w:spacing w:val="0"/>
          <w:sz w:val="32"/>
          <w:szCs w:val="32"/>
          <w:shd w:val="clear" w:fill="FFFFFF"/>
          <w:lang w:val="en-US" w:eastAsia="zh-CN"/>
        </w:rPr>
        <w:t>3</w:t>
      </w:r>
      <w:r>
        <w:rPr>
          <w:rFonts w:hint="eastAsia" w:ascii="仿宋_GB2312" w:hAnsi="仿宋_GB2312" w:eastAsia="仿宋_GB2312" w:cs="仿宋_GB2312"/>
          <w:i w:val="0"/>
          <w:iCs w:val="0"/>
          <w:caps w:val="0"/>
          <w:color w:val="000000"/>
          <w:spacing w:val="0"/>
          <w:sz w:val="32"/>
          <w:szCs w:val="32"/>
          <w:shd w:val="clear" w:fill="FFFFFF"/>
        </w:rPr>
        <w:t>份、支撑材料纸质版1份，以上所有材料的电子版。</w:t>
      </w:r>
    </w:p>
    <w:p w14:paraId="2AC8BE2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60" w:lineRule="exact"/>
        <w:ind w:left="0" w:right="0" w:firstLine="516"/>
        <w:textAlignment w:val="auto"/>
        <w:rPr>
          <w:rFonts w:hint="eastAsia" w:ascii="仿宋_GB2312" w:hAnsi="仿宋_GB2312" w:eastAsia="仿宋_GB2312" w:cs="仿宋_GB2312"/>
          <w:b/>
          <w:bCs/>
          <w:i w:val="0"/>
          <w:iCs w:val="0"/>
          <w:caps w:val="0"/>
          <w:color w:val="333333"/>
          <w:spacing w:val="0"/>
          <w:sz w:val="32"/>
          <w:szCs w:val="32"/>
        </w:rPr>
      </w:pPr>
      <w:r>
        <w:rPr>
          <w:rStyle w:val="6"/>
          <w:rFonts w:hint="eastAsia" w:ascii="仿宋_GB2312" w:hAnsi="仿宋_GB2312" w:eastAsia="仿宋_GB2312" w:cs="仿宋_GB2312"/>
          <w:b/>
          <w:bCs/>
          <w:i w:val="0"/>
          <w:iCs w:val="0"/>
          <w:caps w:val="0"/>
          <w:color w:val="000000"/>
          <w:spacing w:val="0"/>
          <w:sz w:val="32"/>
          <w:szCs w:val="32"/>
          <w:shd w:val="clear" w:fill="FFFFFF"/>
        </w:rPr>
        <w:t>（二）课程思政优秀教学案例</w:t>
      </w:r>
    </w:p>
    <w:p w14:paraId="557569C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60" w:lineRule="exact"/>
        <w:ind w:right="0" w:firstLine="640" w:firstLineChars="200"/>
        <w:textAlignment w:val="auto"/>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000000"/>
          <w:spacing w:val="0"/>
          <w:sz w:val="32"/>
          <w:szCs w:val="32"/>
          <w:shd w:val="clear" w:fill="FFFFFF"/>
        </w:rPr>
        <w:t>1.个人申请：申请人填写《泰山学院课程思政优秀教学案例申报表》（附件3）、案例的支撑</w:t>
      </w:r>
      <w:r>
        <w:rPr>
          <w:rFonts w:hint="eastAsia" w:ascii="仿宋_GB2312" w:hAnsi="仿宋_GB2312" w:eastAsia="仿宋_GB2312" w:cs="仿宋_GB2312"/>
          <w:i w:val="0"/>
          <w:iCs w:val="0"/>
          <w:caps w:val="0"/>
          <w:color w:val="000000"/>
          <w:spacing w:val="0"/>
          <w:sz w:val="32"/>
          <w:szCs w:val="32"/>
          <w:shd w:val="clear" w:fill="FFFFFF"/>
          <w:lang w:val="en-US" w:eastAsia="zh-CN"/>
        </w:rPr>
        <w:t>佐证</w:t>
      </w:r>
      <w:r>
        <w:rPr>
          <w:rFonts w:hint="eastAsia" w:ascii="仿宋_GB2312" w:hAnsi="仿宋_GB2312" w:eastAsia="仿宋_GB2312" w:cs="仿宋_GB2312"/>
          <w:i w:val="0"/>
          <w:iCs w:val="0"/>
          <w:caps w:val="0"/>
          <w:color w:val="000000"/>
          <w:spacing w:val="0"/>
          <w:sz w:val="32"/>
          <w:szCs w:val="32"/>
          <w:shd w:val="clear" w:fill="FFFFFF"/>
        </w:rPr>
        <w:t>材料，将申报表、支撑材料上交所在学院。</w:t>
      </w:r>
    </w:p>
    <w:p w14:paraId="74305A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60" w:lineRule="exact"/>
        <w:ind w:right="0" w:firstLine="640" w:firstLineChars="200"/>
        <w:textAlignment w:val="auto"/>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000000"/>
          <w:spacing w:val="0"/>
          <w:sz w:val="32"/>
          <w:szCs w:val="32"/>
          <w:shd w:val="clear" w:fill="FFFFFF"/>
        </w:rPr>
        <w:t>2.学院初审：学院组织专家队伍初审，在确保以上材料的真实性、政治合格性、思政的典型性基础上，</w:t>
      </w:r>
      <w:r>
        <w:rPr>
          <w:rStyle w:val="6"/>
          <w:rFonts w:hint="eastAsia" w:ascii="仿宋_GB2312" w:hAnsi="仿宋_GB2312" w:eastAsia="仿宋_GB2312" w:cs="仿宋_GB2312"/>
          <w:b/>
          <w:bCs/>
          <w:i w:val="0"/>
          <w:iCs w:val="0"/>
          <w:caps w:val="0"/>
          <w:color w:val="000000"/>
          <w:spacing w:val="0"/>
          <w:sz w:val="32"/>
          <w:szCs w:val="32"/>
          <w:shd w:val="clear" w:fill="FFFFFF"/>
        </w:rPr>
        <w:t>每个专业</w:t>
      </w:r>
      <w:r>
        <w:rPr>
          <w:rFonts w:hint="eastAsia" w:ascii="仿宋_GB2312" w:hAnsi="仿宋_GB2312" w:eastAsia="仿宋_GB2312" w:cs="仿宋_GB2312"/>
          <w:b/>
          <w:bCs/>
          <w:i w:val="0"/>
          <w:iCs w:val="0"/>
          <w:caps w:val="0"/>
          <w:color w:val="000000"/>
          <w:spacing w:val="0"/>
          <w:sz w:val="32"/>
          <w:szCs w:val="32"/>
          <w:shd w:val="clear" w:fill="FFFFFF"/>
        </w:rPr>
        <w:t>原则</w:t>
      </w:r>
      <w:r>
        <w:rPr>
          <w:rFonts w:hint="eastAsia" w:ascii="仿宋_GB2312" w:hAnsi="仿宋_GB2312" w:eastAsia="仿宋_GB2312" w:cs="仿宋_GB2312"/>
          <w:b/>
          <w:bCs/>
          <w:i w:val="0"/>
          <w:iCs w:val="0"/>
          <w:caps w:val="0"/>
          <w:color w:val="000000"/>
          <w:spacing w:val="0"/>
          <w:sz w:val="32"/>
          <w:szCs w:val="32"/>
          <w:shd w:val="clear" w:fill="FFFFFF"/>
          <w:lang w:val="en-US" w:eastAsia="zh-CN"/>
        </w:rPr>
        <w:t>上</w:t>
      </w:r>
      <w:r>
        <w:rPr>
          <w:rFonts w:hint="eastAsia" w:ascii="仿宋_GB2312" w:hAnsi="仿宋_GB2312" w:eastAsia="仿宋_GB2312" w:cs="仿宋_GB2312"/>
          <w:b/>
          <w:bCs/>
          <w:i w:val="0"/>
          <w:iCs w:val="0"/>
          <w:caps w:val="0"/>
          <w:color w:val="000000"/>
          <w:spacing w:val="0"/>
          <w:sz w:val="32"/>
          <w:szCs w:val="32"/>
          <w:shd w:val="clear" w:fill="FFFFFF"/>
        </w:rPr>
        <w:t>推荐</w:t>
      </w:r>
      <w:r>
        <w:rPr>
          <w:rStyle w:val="6"/>
          <w:rFonts w:hint="eastAsia" w:ascii="仿宋_GB2312" w:hAnsi="仿宋_GB2312" w:eastAsia="仿宋_GB2312" w:cs="仿宋_GB2312"/>
          <w:b/>
          <w:bCs/>
          <w:i w:val="0"/>
          <w:iCs w:val="0"/>
          <w:caps w:val="0"/>
          <w:color w:val="000000"/>
          <w:spacing w:val="0"/>
          <w:sz w:val="32"/>
          <w:szCs w:val="32"/>
          <w:shd w:val="clear" w:fill="FFFFFF"/>
        </w:rPr>
        <w:t>最多</w:t>
      </w:r>
      <w:r>
        <w:rPr>
          <w:rStyle w:val="6"/>
          <w:rFonts w:hint="eastAsia" w:ascii="仿宋_GB2312" w:hAnsi="仿宋_GB2312" w:eastAsia="仿宋_GB2312" w:cs="仿宋_GB2312"/>
          <w:b/>
          <w:bCs/>
          <w:i w:val="0"/>
          <w:iCs w:val="0"/>
          <w:caps w:val="0"/>
          <w:color w:val="000000"/>
          <w:spacing w:val="0"/>
          <w:sz w:val="32"/>
          <w:szCs w:val="32"/>
          <w:shd w:val="clear" w:fill="FFFFFF"/>
          <w:lang w:val="en-US" w:eastAsia="zh-CN"/>
        </w:rPr>
        <w:t>2</w:t>
      </w:r>
      <w:r>
        <w:rPr>
          <w:rStyle w:val="6"/>
          <w:rFonts w:hint="eastAsia" w:ascii="仿宋_GB2312" w:hAnsi="仿宋_GB2312" w:eastAsia="仿宋_GB2312" w:cs="仿宋_GB2312"/>
          <w:b/>
          <w:bCs/>
          <w:i w:val="0"/>
          <w:iCs w:val="0"/>
          <w:caps w:val="0"/>
          <w:color w:val="000000"/>
          <w:spacing w:val="0"/>
          <w:sz w:val="32"/>
          <w:szCs w:val="32"/>
          <w:shd w:val="clear" w:fill="FFFFFF"/>
        </w:rPr>
        <w:t>个</w:t>
      </w:r>
      <w:r>
        <w:rPr>
          <w:rFonts w:hint="eastAsia" w:ascii="仿宋_GB2312" w:hAnsi="仿宋_GB2312" w:eastAsia="仿宋_GB2312" w:cs="仿宋_GB2312"/>
          <w:i w:val="0"/>
          <w:iCs w:val="0"/>
          <w:caps w:val="0"/>
          <w:color w:val="000000"/>
          <w:spacing w:val="0"/>
          <w:sz w:val="32"/>
          <w:szCs w:val="32"/>
          <w:shd w:val="clear" w:fill="FFFFFF"/>
        </w:rPr>
        <w:t>，并填写《泰山学院课程思政优秀案例申报汇总表》（附件4）。</w:t>
      </w:r>
    </w:p>
    <w:p w14:paraId="26138C6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60" w:lineRule="exact"/>
        <w:ind w:left="0" w:right="0" w:firstLine="516"/>
        <w:textAlignment w:val="auto"/>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000000"/>
          <w:spacing w:val="0"/>
          <w:sz w:val="32"/>
          <w:szCs w:val="32"/>
          <w:shd w:val="clear" w:fill="FFFFFF"/>
        </w:rPr>
        <w:t>3.上报学校：申报表纸质版</w:t>
      </w:r>
      <w:r>
        <w:rPr>
          <w:rFonts w:hint="eastAsia" w:ascii="仿宋_GB2312" w:hAnsi="仿宋_GB2312" w:eastAsia="仿宋_GB2312" w:cs="仿宋_GB2312"/>
          <w:i w:val="0"/>
          <w:iCs w:val="0"/>
          <w:caps w:val="0"/>
          <w:color w:val="000000"/>
          <w:spacing w:val="0"/>
          <w:sz w:val="32"/>
          <w:szCs w:val="32"/>
          <w:shd w:val="clear" w:fill="FFFFFF"/>
          <w:lang w:val="en-US" w:eastAsia="zh-CN"/>
        </w:rPr>
        <w:t>3</w:t>
      </w:r>
      <w:r>
        <w:rPr>
          <w:rFonts w:hint="eastAsia" w:ascii="仿宋_GB2312" w:hAnsi="仿宋_GB2312" w:eastAsia="仿宋_GB2312" w:cs="仿宋_GB2312"/>
          <w:i w:val="0"/>
          <w:iCs w:val="0"/>
          <w:caps w:val="0"/>
          <w:color w:val="000000"/>
          <w:spacing w:val="0"/>
          <w:sz w:val="32"/>
          <w:szCs w:val="32"/>
          <w:shd w:val="clear" w:fill="FFFFFF"/>
        </w:rPr>
        <w:t>份、支撑材料纸质版1份，以上所有材料的电子版。</w:t>
      </w:r>
    </w:p>
    <w:p w14:paraId="685F1FC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60" w:lineRule="exact"/>
        <w:ind w:left="0" w:right="0" w:firstLine="516"/>
        <w:textAlignment w:val="auto"/>
        <w:rPr>
          <w:rFonts w:hint="eastAsia" w:ascii="仿宋_GB2312" w:hAnsi="仿宋_GB2312" w:eastAsia="仿宋_GB2312" w:cs="仿宋_GB2312"/>
          <w:b/>
          <w:bCs/>
          <w:i w:val="0"/>
          <w:iCs w:val="0"/>
          <w:caps w:val="0"/>
          <w:color w:val="333333"/>
          <w:spacing w:val="0"/>
          <w:sz w:val="32"/>
          <w:szCs w:val="32"/>
        </w:rPr>
      </w:pPr>
      <w:r>
        <w:rPr>
          <w:rStyle w:val="6"/>
          <w:rFonts w:hint="eastAsia" w:ascii="仿宋_GB2312" w:hAnsi="仿宋_GB2312" w:eastAsia="仿宋_GB2312" w:cs="仿宋_GB2312"/>
          <w:b/>
          <w:bCs/>
          <w:i w:val="0"/>
          <w:iCs w:val="0"/>
          <w:caps w:val="0"/>
          <w:color w:val="000000"/>
          <w:spacing w:val="0"/>
          <w:sz w:val="32"/>
          <w:szCs w:val="32"/>
          <w:shd w:val="clear" w:fill="FFFFFF"/>
        </w:rPr>
        <w:t>（三）课程思政示范课和优秀教学案例不可同时申报。</w:t>
      </w:r>
    </w:p>
    <w:p w14:paraId="04A71A4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60" w:lineRule="exact"/>
        <w:ind w:right="0" w:firstLine="640" w:firstLineChars="200"/>
        <w:textAlignment w:val="auto"/>
        <w:rPr>
          <w:rFonts w:hint="eastAsia" w:ascii="黑体" w:hAnsi="黑体" w:eastAsia="黑体" w:cs="黑体"/>
          <w:b w:val="0"/>
          <w:bCs w:val="0"/>
          <w:i w:val="0"/>
          <w:iCs w:val="0"/>
          <w:caps w:val="0"/>
          <w:color w:val="000000"/>
          <w:spacing w:val="0"/>
          <w:sz w:val="32"/>
          <w:szCs w:val="32"/>
          <w:shd w:val="clear" w:fill="FFFFFF"/>
        </w:rPr>
      </w:pPr>
      <w:r>
        <w:rPr>
          <w:rFonts w:hint="eastAsia" w:ascii="黑体" w:hAnsi="黑体" w:eastAsia="黑体" w:cs="黑体"/>
          <w:b w:val="0"/>
          <w:bCs w:val="0"/>
          <w:i w:val="0"/>
          <w:iCs w:val="0"/>
          <w:caps w:val="0"/>
          <w:color w:val="000000"/>
          <w:spacing w:val="0"/>
          <w:sz w:val="32"/>
          <w:szCs w:val="32"/>
          <w:shd w:val="clear" w:fill="FFFFFF"/>
        </w:rPr>
        <w:t>五、材料报送</w:t>
      </w:r>
    </w:p>
    <w:p w14:paraId="26DD71D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60" w:lineRule="exact"/>
        <w:ind w:right="0" w:firstLine="640" w:firstLineChars="200"/>
        <w:textAlignment w:val="auto"/>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000000"/>
          <w:spacing w:val="0"/>
          <w:sz w:val="32"/>
          <w:szCs w:val="32"/>
          <w:shd w:val="clear" w:fill="FFFFFF"/>
        </w:rPr>
        <w:t>1.请各学院高度重视，发动广大教师参与，认真按照要求组织评审推荐。</w:t>
      </w:r>
    </w:p>
    <w:p w14:paraId="66ACA67A">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i w:val="0"/>
          <w:iCs w:val="0"/>
          <w:caps w:val="0"/>
          <w:color w:val="000000"/>
          <w:spacing w:val="0"/>
          <w:sz w:val="32"/>
          <w:szCs w:val="32"/>
          <w:shd w:val="clear" w:fill="FFFFFF"/>
        </w:rPr>
      </w:pPr>
      <w:r>
        <w:rPr>
          <w:rFonts w:hint="eastAsia" w:ascii="仿宋_GB2312" w:hAnsi="仿宋_GB2312" w:eastAsia="仿宋_GB2312" w:cs="仿宋_GB2312"/>
          <w:i w:val="0"/>
          <w:iCs w:val="0"/>
          <w:caps w:val="0"/>
          <w:color w:val="000000"/>
          <w:spacing w:val="0"/>
          <w:sz w:val="32"/>
          <w:szCs w:val="32"/>
          <w:shd w:val="clear" w:fill="FFFFFF"/>
        </w:rPr>
        <w:t>2.申报材料在202</w:t>
      </w:r>
      <w:r>
        <w:rPr>
          <w:rFonts w:hint="eastAsia" w:ascii="仿宋_GB2312" w:hAnsi="仿宋_GB2312" w:eastAsia="仿宋_GB2312" w:cs="仿宋_GB2312"/>
          <w:i w:val="0"/>
          <w:iCs w:val="0"/>
          <w:caps w:val="0"/>
          <w:color w:val="000000"/>
          <w:spacing w:val="0"/>
          <w:sz w:val="32"/>
          <w:szCs w:val="32"/>
          <w:shd w:val="clear" w:fill="FFFFFF"/>
          <w:lang w:val="en-US" w:eastAsia="zh-CN"/>
        </w:rPr>
        <w:t>5</w:t>
      </w:r>
      <w:r>
        <w:rPr>
          <w:rFonts w:hint="eastAsia" w:ascii="仿宋_GB2312" w:hAnsi="仿宋_GB2312" w:eastAsia="仿宋_GB2312" w:cs="仿宋_GB2312"/>
          <w:i w:val="0"/>
          <w:iCs w:val="0"/>
          <w:caps w:val="0"/>
          <w:color w:val="000000"/>
          <w:spacing w:val="0"/>
          <w:sz w:val="32"/>
          <w:szCs w:val="32"/>
          <w:shd w:val="clear" w:fill="FFFFFF"/>
        </w:rPr>
        <w:t>年</w:t>
      </w:r>
      <w:r>
        <w:rPr>
          <w:rFonts w:hint="eastAsia" w:ascii="仿宋_GB2312" w:hAnsi="仿宋_GB2312" w:eastAsia="仿宋_GB2312" w:cs="仿宋_GB2312"/>
          <w:i w:val="0"/>
          <w:iCs w:val="0"/>
          <w:caps w:val="0"/>
          <w:color w:val="000000"/>
          <w:spacing w:val="0"/>
          <w:sz w:val="32"/>
          <w:szCs w:val="32"/>
          <w:shd w:val="clear" w:fill="FFFFFF"/>
          <w:lang w:val="en-US" w:eastAsia="zh-CN"/>
        </w:rPr>
        <w:t>10</w:t>
      </w:r>
      <w:r>
        <w:rPr>
          <w:rFonts w:hint="eastAsia" w:ascii="仿宋_GB2312" w:hAnsi="仿宋_GB2312" w:eastAsia="仿宋_GB2312" w:cs="仿宋_GB2312"/>
          <w:i w:val="0"/>
          <w:iCs w:val="0"/>
          <w:caps w:val="0"/>
          <w:color w:val="000000"/>
          <w:spacing w:val="0"/>
          <w:sz w:val="32"/>
          <w:szCs w:val="32"/>
          <w:shd w:val="clear" w:fill="FFFFFF"/>
        </w:rPr>
        <w:t>月</w:t>
      </w:r>
      <w:r>
        <w:rPr>
          <w:rFonts w:hint="eastAsia" w:ascii="仿宋_GB2312" w:hAnsi="仿宋_GB2312" w:eastAsia="仿宋_GB2312" w:cs="仿宋_GB2312"/>
          <w:i w:val="0"/>
          <w:iCs w:val="0"/>
          <w:caps w:val="0"/>
          <w:color w:val="000000"/>
          <w:spacing w:val="0"/>
          <w:sz w:val="32"/>
          <w:szCs w:val="32"/>
          <w:shd w:val="clear" w:fill="FFFFFF"/>
          <w:lang w:val="en-US" w:eastAsia="zh-CN"/>
        </w:rPr>
        <w:t>30</w:t>
      </w:r>
      <w:r>
        <w:rPr>
          <w:rFonts w:hint="eastAsia" w:ascii="仿宋_GB2312" w:hAnsi="仿宋_GB2312" w:eastAsia="仿宋_GB2312" w:cs="仿宋_GB2312"/>
          <w:i w:val="0"/>
          <w:iCs w:val="0"/>
          <w:caps w:val="0"/>
          <w:color w:val="000000"/>
          <w:spacing w:val="0"/>
          <w:sz w:val="32"/>
          <w:szCs w:val="32"/>
          <w:shd w:val="clear" w:fill="FFFFFF"/>
        </w:rPr>
        <w:t>日提交。纸质材料申报书一式</w:t>
      </w:r>
      <w:r>
        <w:rPr>
          <w:rFonts w:hint="eastAsia" w:ascii="仿宋_GB2312" w:hAnsi="仿宋_GB2312" w:eastAsia="仿宋_GB2312" w:cs="仿宋_GB2312"/>
          <w:i w:val="0"/>
          <w:iCs w:val="0"/>
          <w:caps w:val="0"/>
          <w:color w:val="000000"/>
          <w:spacing w:val="0"/>
          <w:sz w:val="32"/>
          <w:szCs w:val="32"/>
          <w:shd w:val="clear" w:fill="FFFFFF"/>
          <w:lang w:val="en-US" w:eastAsia="zh-CN"/>
        </w:rPr>
        <w:t>三</w:t>
      </w:r>
      <w:r>
        <w:rPr>
          <w:rFonts w:hint="eastAsia" w:ascii="仿宋_GB2312" w:hAnsi="仿宋_GB2312" w:eastAsia="仿宋_GB2312" w:cs="仿宋_GB2312"/>
          <w:i w:val="0"/>
          <w:iCs w:val="0"/>
          <w:caps w:val="0"/>
          <w:color w:val="000000"/>
          <w:spacing w:val="0"/>
          <w:sz w:val="32"/>
          <w:szCs w:val="32"/>
          <w:shd w:val="clear" w:fill="FFFFFF"/>
        </w:rPr>
        <w:t>份、支撑材料一份，汇总表一份，加盖学院公章后提交教务处</w:t>
      </w:r>
      <w:r>
        <w:rPr>
          <w:rFonts w:hint="eastAsia" w:ascii="仿宋_GB2312" w:hAnsi="仿宋_GB2312" w:eastAsia="仿宋_GB2312" w:cs="仿宋_GB2312"/>
          <w:i w:val="0"/>
          <w:iCs w:val="0"/>
          <w:caps w:val="0"/>
          <w:color w:val="000000"/>
          <w:spacing w:val="0"/>
          <w:sz w:val="32"/>
          <w:szCs w:val="32"/>
          <w:shd w:val="clear" w:fill="FFFFFF"/>
          <w:lang w:val="en-US" w:eastAsia="zh-CN"/>
        </w:rPr>
        <w:t>办公楼A218房间</w:t>
      </w:r>
      <w:r>
        <w:rPr>
          <w:rFonts w:hint="eastAsia" w:ascii="仿宋_GB2312" w:hAnsi="仿宋_GB2312" w:eastAsia="仿宋_GB2312" w:cs="仿宋_GB2312"/>
          <w:i w:val="0"/>
          <w:iCs w:val="0"/>
          <w:caps w:val="0"/>
          <w:color w:val="000000"/>
          <w:spacing w:val="0"/>
          <w:sz w:val="32"/>
          <w:szCs w:val="32"/>
          <w:shd w:val="clear" w:fill="FFFFFF"/>
        </w:rPr>
        <w:t>；电子版发送至邮箱：</w:t>
      </w:r>
      <w:r>
        <w:rPr>
          <w:rFonts w:hint="eastAsia" w:ascii="仿宋_GB2312" w:hAnsi="仿宋_GB2312" w:eastAsia="仿宋_GB2312" w:cs="仿宋_GB2312"/>
          <w:i w:val="0"/>
          <w:iCs w:val="0"/>
          <w:caps w:val="0"/>
          <w:color w:val="000000"/>
          <w:spacing w:val="0"/>
          <w:sz w:val="32"/>
          <w:szCs w:val="32"/>
          <w:shd w:val="clear" w:fill="FFFFFF"/>
        </w:rPr>
        <w:fldChar w:fldCharType="begin"/>
      </w:r>
      <w:r>
        <w:rPr>
          <w:rFonts w:hint="eastAsia" w:ascii="仿宋_GB2312" w:hAnsi="仿宋_GB2312" w:eastAsia="仿宋_GB2312" w:cs="仿宋_GB2312"/>
          <w:i w:val="0"/>
          <w:iCs w:val="0"/>
          <w:caps w:val="0"/>
          <w:color w:val="000000"/>
          <w:spacing w:val="0"/>
          <w:sz w:val="32"/>
          <w:szCs w:val="32"/>
          <w:shd w:val="clear" w:fill="FFFFFF"/>
        </w:rPr>
        <w:instrText xml:space="preserve"> HYPERLINK "mailto:tsu_kcsz@tsu.edu.cn" \t "https://exmail.qq.com/cgi-bin/_blank" </w:instrText>
      </w:r>
      <w:r>
        <w:rPr>
          <w:rFonts w:hint="eastAsia" w:ascii="仿宋_GB2312" w:hAnsi="仿宋_GB2312" w:eastAsia="仿宋_GB2312" w:cs="仿宋_GB2312"/>
          <w:i w:val="0"/>
          <w:iCs w:val="0"/>
          <w:caps w:val="0"/>
          <w:color w:val="000000"/>
          <w:spacing w:val="0"/>
          <w:sz w:val="32"/>
          <w:szCs w:val="32"/>
          <w:shd w:val="clear" w:fill="FFFFFF"/>
        </w:rPr>
        <w:fldChar w:fldCharType="separate"/>
      </w:r>
      <w:r>
        <w:rPr>
          <w:rFonts w:hint="default" w:ascii="仿宋_GB2312" w:hAnsi="仿宋_GB2312" w:eastAsia="仿宋_GB2312" w:cs="仿宋_GB2312"/>
          <w:i w:val="0"/>
          <w:iCs w:val="0"/>
          <w:caps w:val="0"/>
          <w:color w:val="000000"/>
          <w:spacing w:val="0"/>
          <w:sz w:val="32"/>
          <w:szCs w:val="32"/>
          <w:shd w:val="clear" w:fill="FFFFFF"/>
        </w:rPr>
        <w:t>tsu_kcsz@tsu.edu.cn</w:t>
      </w:r>
      <w:r>
        <w:rPr>
          <w:rFonts w:hint="default" w:ascii="仿宋_GB2312" w:hAnsi="仿宋_GB2312" w:eastAsia="仿宋_GB2312" w:cs="仿宋_GB2312"/>
          <w:i w:val="0"/>
          <w:iCs w:val="0"/>
          <w:caps w:val="0"/>
          <w:color w:val="000000"/>
          <w:spacing w:val="0"/>
          <w:sz w:val="32"/>
          <w:szCs w:val="32"/>
          <w:shd w:val="clear" w:fill="FFFFFF"/>
        </w:rPr>
        <w:fldChar w:fldCharType="end"/>
      </w:r>
      <w:r>
        <w:rPr>
          <w:rFonts w:hint="eastAsia" w:ascii="仿宋_GB2312" w:hAnsi="仿宋_GB2312" w:eastAsia="仿宋_GB2312" w:cs="仿宋_GB2312"/>
          <w:i w:val="0"/>
          <w:iCs w:val="0"/>
          <w:caps w:val="0"/>
          <w:color w:val="000000"/>
          <w:spacing w:val="0"/>
          <w:sz w:val="32"/>
          <w:szCs w:val="32"/>
          <w:shd w:val="clear" w:fill="FFFFFF"/>
        </w:rPr>
        <w:t>。</w:t>
      </w:r>
    </w:p>
    <w:p w14:paraId="4426B58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60" w:lineRule="exact"/>
        <w:ind w:left="0" w:right="0" w:firstLine="640" w:firstLineChars="200"/>
        <w:textAlignment w:val="auto"/>
        <w:rPr>
          <w:rFonts w:hint="eastAsia" w:ascii="仿宋_GB2312" w:hAnsi="仿宋_GB2312" w:eastAsia="仿宋_GB2312" w:cs="仿宋_GB2312"/>
          <w:i w:val="0"/>
          <w:iCs w:val="0"/>
          <w:caps w:val="0"/>
          <w:color w:val="000000"/>
          <w:spacing w:val="0"/>
          <w:sz w:val="32"/>
          <w:szCs w:val="32"/>
          <w:shd w:val="clear" w:fill="FFFFFF"/>
          <w:lang w:val="en-US" w:eastAsia="zh-CN"/>
        </w:rPr>
      </w:pPr>
      <w:r>
        <w:rPr>
          <w:rFonts w:hint="eastAsia" w:ascii="仿宋_GB2312" w:hAnsi="仿宋_GB2312" w:eastAsia="仿宋_GB2312" w:cs="仿宋_GB2312"/>
          <w:i w:val="0"/>
          <w:iCs w:val="0"/>
          <w:caps w:val="0"/>
          <w:color w:val="000000"/>
          <w:spacing w:val="0"/>
          <w:sz w:val="32"/>
          <w:szCs w:val="32"/>
          <w:shd w:val="clear" w:fill="FFFFFF"/>
        </w:rPr>
        <w:t>联系人：</w:t>
      </w:r>
      <w:r>
        <w:rPr>
          <w:rFonts w:hint="eastAsia" w:ascii="仿宋_GB2312" w:hAnsi="仿宋_GB2312" w:eastAsia="仿宋_GB2312" w:cs="仿宋_GB2312"/>
          <w:i w:val="0"/>
          <w:iCs w:val="0"/>
          <w:caps w:val="0"/>
          <w:color w:val="000000"/>
          <w:spacing w:val="0"/>
          <w:sz w:val="32"/>
          <w:szCs w:val="32"/>
          <w:shd w:val="clear" w:fill="FFFFFF"/>
          <w:lang w:val="en-US" w:eastAsia="zh-CN"/>
        </w:rPr>
        <w:t>彭老师</w:t>
      </w:r>
      <w:r>
        <w:rPr>
          <w:rFonts w:hint="eastAsia" w:ascii="仿宋_GB2312" w:hAnsi="仿宋_GB2312" w:eastAsia="仿宋_GB2312" w:cs="仿宋_GB2312"/>
          <w:i w:val="0"/>
          <w:iCs w:val="0"/>
          <w:caps w:val="0"/>
          <w:color w:val="000000"/>
          <w:spacing w:val="0"/>
          <w:sz w:val="32"/>
          <w:szCs w:val="32"/>
          <w:shd w:val="clear" w:fill="FFFFFF"/>
        </w:rPr>
        <w:t>，联系电话：671</w:t>
      </w:r>
      <w:r>
        <w:rPr>
          <w:rFonts w:hint="eastAsia" w:ascii="仿宋_GB2312" w:hAnsi="仿宋_GB2312" w:eastAsia="仿宋_GB2312" w:cs="仿宋_GB2312"/>
          <w:i w:val="0"/>
          <w:iCs w:val="0"/>
          <w:caps w:val="0"/>
          <w:color w:val="000000"/>
          <w:spacing w:val="0"/>
          <w:sz w:val="32"/>
          <w:szCs w:val="32"/>
          <w:shd w:val="clear" w:fill="FFFFFF"/>
          <w:lang w:val="en-US" w:eastAsia="zh-CN"/>
        </w:rPr>
        <w:t>1069</w:t>
      </w:r>
    </w:p>
    <w:p w14:paraId="74A93CE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60" w:lineRule="exact"/>
        <w:ind w:left="0" w:right="0" w:firstLine="0"/>
        <w:textAlignment w:val="auto"/>
        <w:rPr>
          <w:rFonts w:hint="eastAsia" w:ascii="仿宋_GB2312" w:hAnsi="仿宋_GB2312" w:eastAsia="仿宋_GB2312" w:cs="仿宋_GB2312"/>
          <w:i w:val="0"/>
          <w:iCs w:val="0"/>
          <w:caps w:val="0"/>
          <w:color w:val="000000"/>
          <w:spacing w:val="0"/>
          <w:sz w:val="32"/>
          <w:szCs w:val="32"/>
          <w:shd w:val="clear" w:fill="FFFFFF"/>
          <w:lang w:val="en-US" w:eastAsia="zh-CN"/>
        </w:rPr>
      </w:pPr>
    </w:p>
    <w:p w14:paraId="2562783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60" w:lineRule="exact"/>
        <w:ind w:left="0" w:right="0" w:firstLine="0"/>
        <w:textAlignment w:val="auto"/>
        <w:rPr>
          <w:rFonts w:hint="eastAsia" w:ascii="仿宋_GB2312" w:hAnsi="仿宋_GB2312" w:eastAsia="仿宋_GB2312" w:cs="仿宋_GB2312"/>
          <w:i w:val="0"/>
          <w:iCs w:val="0"/>
          <w:caps w:val="0"/>
          <w:color w:val="000000"/>
          <w:spacing w:val="0"/>
          <w:sz w:val="32"/>
          <w:szCs w:val="32"/>
          <w:shd w:val="clear" w:fill="FFFFFF"/>
          <w:lang w:val="en-US" w:eastAsia="zh-CN"/>
        </w:rPr>
      </w:pPr>
    </w:p>
    <w:p w14:paraId="176800A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60" w:lineRule="exact"/>
        <w:ind w:left="0" w:right="0" w:firstLine="0"/>
        <w:textAlignment w:val="auto"/>
        <w:rPr>
          <w:rFonts w:hint="eastAsia" w:ascii="仿宋_GB2312" w:hAnsi="仿宋_GB2312" w:eastAsia="仿宋_GB2312" w:cs="仿宋_GB2312"/>
          <w:i w:val="0"/>
          <w:iCs w:val="0"/>
          <w:caps w:val="0"/>
          <w:color w:val="000000"/>
          <w:spacing w:val="0"/>
          <w:sz w:val="32"/>
          <w:szCs w:val="32"/>
          <w:shd w:val="clear" w:fill="FFFFFF"/>
          <w:lang w:val="en-US" w:eastAsia="zh-CN"/>
        </w:rPr>
      </w:pPr>
    </w:p>
    <w:p w14:paraId="341B5D4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60" w:lineRule="exact"/>
        <w:ind w:left="0" w:right="0" w:firstLine="0"/>
        <w:textAlignment w:val="auto"/>
        <w:rPr>
          <w:rFonts w:hint="eastAsia" w:ascii="仿宋_GB2312" w:hAnsi="仿宋_GB2312" w:eastAsia="仿宋_GB2312" w:cs="仿宋_GB2312"/>
          <w:i w:val="0"/>
          <w:iCs w:val="0"/>
          <w:caps w:val="0"/>
          <w:color w:val="000000"/>
          <w:spacing w:val="0"/>
          <w:sz w:val="32"/>
          <w:szCs w:val="32"/>
          <w:shd w:val="clear" w:fill="FFFFFF"/>
        </w:rPr>
      </w:pPr>
      <w:r>
        <w:rPr>
          <w:rFonts w:hint="eastAsia" w:ascii="仿宋_GB2312" w:hAnsi="仿宋_GB2312" w:eastAsia="仿宋_GB2312" w:cs="仿宋_GB2312"/>
          <w:i w:val="0"/>
          <w:iCs w:val="0"/>
          <w:caps w:val="0"/>
          <w:color w:val="000000"/>
          <w:spacing w:val="0"/>
          <w:sz w:val="32"/>
          <w:szCs w:val="32"/>
          <w:shd w:val="clear" w:fill="FFFFFF"/>
        </w:rPr>
        <w:t>附件：1.泰山学院课程思政示范课程申报书</w:t>
      </w:r>
    </w:p>
    <w:p w14:paraId="7C28283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60" w:lineRule="exact"/>
        <w:ind w:left="0" w:right="0" w:firstLine="960" w:firstLineChars="300"/>
        <w:textAlignment w:val="auto"/>
        <w:rPr>
          <w:rFonts w:hint="eastAsia" w:ascii="仿宋_GB2312" w:hAnsi="仿宋_GB2312" w:eastAsia="仿宋_GB2312" w:cs="仿宋_GB2312"/>
          <w:i w:val="0"/>
          <w:iCs w:val="0"/>
          <w:caps w:val="0"/>
          <w:color w:val="000000"/>
          <w:spacing w:val="0"/>
          <w:sz w:val="32"/>
          <w:szCs w:val="32"/>
          <w:shd w:val="clear" w:fill="FFFFFF"/>
        </w:rPr>
      </w:pPr>
      <w:r>
        <w:rPr>
          <w:rFonts w:hint="eastAsia" w:ascii="仿宋_GB2312" w:hAnsi="仿宋_GB2312" w:eastAsia="仿宋_GB2312" w:cs="仿宋_GB2312"/>
          <w:i w:val="0"/>
          <w:iCs w:val="0"/>
          <w:caps w:val="0"/>
          <w:color w:val="000000"/>
          <w:spacing w:val="0"/>
          <w:sz w:val="32"/>
          <w:szCs w:val="32"/>
          <w:shd w:val="clear" w:fill="FFFFFF"/>
          <w:lang w:val="en-US" w:eastAsia="zh-CN"/>
        </w:rPr>
        <w:t>2.</w:t>
      </w:r>
      <w:r>
        <w:rPr>
          <w:rFonts w:hint="eastAsia" w:ascii="仿宋_GB2312" w:hAnsi="仿宋_GB2312" w:eastAsia="仿宋_GB2312" w:cs="仿宋_GB2312"/>
          <w:i w:val="0"/>
          <w:iCs w:val="0"/>
          <w:caps w:val="0"/>
          <w:color w:val="000000"/>
          <w:spacing w:val="0"/>
          <w:sz w:val="32"/>
          <w:szCs w:val="32"/>
          <w:shd w:val="clear" w:fill="FFFFFF"/>
        </w:rPr>
        <w:t>泰山学院课程思政示范课程申报汇总表</w:t>
      </w:r>
    </w:p>
    <w:p w14:paraId="197DC2D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60" w:lineRule="exact"/>
        <w:ind w:left="0" w:right="0" w:firstLine="960" w:firstLineChars="300"/>
        <w:textAlignment w:val="auto"/>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000000"/>
          <w:spacing w:val="0"/>
          <w:sz w:val="32"/>
          <w:szCs w:val="32"/>
          <w:shd w:val="clear" w:fill="FFFFFF"/>
          <w:lang w:val="en-US" w:eastAsia="zh-CN"/>
        </w:rPr>
        <w:t>3.</w:t>
      </w:r>
      <w:r>
        <w:rPr>
          <w:rFonts w:hint="eastAsia" w:ascii="仿宋_GB2312" w:hAnsi="仿宋_GB2312" w:eastAsia="仿宋_GB2312" w:cs="仿宋_GB2312"/>
          <w:i w:val="0"/>
          <w:iCs w:val="0"/>
          <w:caps w:val="0"/>
          <w:color w:val="000000"/>
          <w:spacing w:val="0"/>
          <w:sz w:val="32"/>
          <w:szCs w:val="32"/>
          <w:shd w:val="clear" w:fill="FFFFFF"/>
        </w:rPr>
        <w:t>泰山学院课程思政优秀案例申报表</w:t>
      </w:r>
    </w:p>
    <w:p w14:paraId="5DEA1C7F">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60" w:lineRule="exact"/>
        <w:ind w:leftChars="300" w:right="0" w:rightChars="0" w:firstLine="320" w:firstLineChars="100"/>
        <w:textAlignment w:val="auto"/>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000000"/>
          <w:spacing w:val="0"/>
          <w:sz w:val="32"/>
          <w:szCs w:val="32"/>
          <w:shd w:val="clear" w:fill="FFFFFF"/>
          <w:lang w:val="en-US" w:eastAsia="zh-CN"/>
        </w:rPr>
        <w:t>4.</w:t>
      </w:r>
      <w:r>
        <w:rPr>
          <w:rFonts w:hint="eastAsia" w:ascii="仿宋_GB2312" w:hAnsi="仿宋_GB2312" w:eastAsia="仿宋_GB2312" w:cs="仿宋_GB2312"/>
          <w:i w:val="0"/>
          <w:iCs w:val="0"/>
          <w:caps w:val="0"/>
          <w:color w:val="000000"/>
          <w:spacing w:val="0"/>
          <w:sz w:val="32"/>
          <w:szCs w:val="32"/>
          <w:shd w:val="clear" w:fill="FFFFFF"/>
        </w:rPr>
        <w:t>泰山学院课程思政优秀案例申报汇总表</w:t>
      </w:r>
    </w:p>
    <w:p w14:paraId="32BD633D">
      <w:pPr>
        <w:keepNext w:val="0"/>
        <w:keepLines w:val="0"/>
        <w:pageBreakBefore w:val="0"/>
        <w:kinsoku/>
        <w:wordWrap/>
        <w:overflowPunct/>
        <w:topLinePunct w:val="0"/>
        <w:autoSpaceDE/>
        <w:autoSpaceDN/>
        <w:bidi w:val="0"/>
        <w:adjustRightInd w:val="0"/>
        <w:snapToGrid w:val="0"/>
        <w:spacing w:line="560" w:lineRule="exact"/>
        <w:jc w:val="both"/>
        <w:textAlignment w:val="auto"/>
        <w:rPr>
          <w:rFonts w:hint="eastAsia" w:ascii="仿宋_GB2312" w:hAnsi="仿宋_GB2312" w:eastAsia="仿宋_GB2312" w:cs="仿宋_GB2312"/>
          <w:sz w:val="32"/>
          <w:szCs w:val="32"/>
          <w:lang w:val="en-US" w:eastAsia="zh-CN"/>
        </w:rPr>
      </w:pPr>
    </w:p>
    <w:p w14:paraId="4635B25A">
      <w:pPr>
        <w:keepNext w:val="0"/>
        <w:keepLines w:val="0"/>
        <w:pageBreakBefore w:val="0"/>
        <w:kinsoku/>
        <w:wordWrap/>
        <w:overflowPunct/>
        <w:topLinePunct w:val="0"/>
        <w:autoSpaceDE/>
        <w:autoSpaceDN/>
        <w:bidi w:val="0"/>
        <w:adjustRightInd w:val="0"/>
        <w:snapToGrid w:val="0"/>
        <w:spacing w:line="560" w:lineRule="exact"/>
        <w:jc w:val="both"/>
        <w:textAlignment w:val="auto"/>
        <w:rPr>
          <w:rFonts w:hint="eastAsia" w:ascii="仿宋_GB2312" w:hAnsi="仿宋_GB2312" w:eastAsia="仿宋_GB2312" w:cs="仿宋_GB2312"/>
          <w:sz w:val="32"/>
          <w:szCs w:val="32"/>
          <w:lang w:val="en-US" w:eastAsia="zh-CN"/>
        </w:rPr>
      </w:pPr>
    </w:p>
    <w:p w14:paraId="7934E9C2">
      <w:pPr>
        <w:keepNext w:val="0"/>
        <w:keepLines w:val="0"/>
        <w:pageBreakBefore w:val="0"/>
        <w:kinsoku/>
        <w:wordWrap/>
        <w:overflowPunct/>
        <w:topLinePunct w:val="0"/>
        <w:autoSpaceDE/>
        <w:autoSpaceDN/>
        <w:bidi w:val="0"/>
        <w:adjustRightInd w:val="0"/>
        <w:snapToGrid w:val="0"/>
        <w:spacing w:line="560" w:lineRule="exact"/>
        <w:jc w:val="righ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教务处（教学质量监控中心、教师教学发展中心）</w:t>
      </w:r>
    </w:p>
    <w:p w14:paraId="652DA030">
      <w:pPr>
        <w:keepNext w:val="0"/>
        <w:keepLines w:val="0"/>
        <w:pageBreakBefore w:val="0"/>
        <w:kinsoku/>
        <w:wordWrap/>
        <w:overflowPunct/>
        <w:topLinePunct w:val="0"/>
        <w:autoSpaceDE/>
        <w:autoSpaceDN/>
        <w:bidi w:val="0"/>
        <w:adjustRightInd w:val="0"/>
        <w:snapToGrid w:val="0"/>
        <w:spacing w:line="560" w:lineRule="exact"/>
        <w:jc w:val="center"/>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泰山学院课程思政教学研究中心</w:t>
      </w:r>
    </w:p>
    <w:p w14:paraId="58A67D7B">
      <w:pPr>
        <w:keepNext w:val="0"/>
        <w:keepLines w:val="0"/>
        <w:pageBreakBefore w:val="0"/>
        <w:kinsoku/>
        <w:wordWrap/>
        <w:overflowPunct/>
        <w:topLinePunct w:val="0"/>
        <w:autoSpaceDE/>
        <w:autoSpaceDN/>
        <w:bidi w:val="0"/>
        <w:adjustRightInd w:val="0"/>
        <w:snapToGrid w:val="0"/>
        <w:spacing w:line="560" w:lineRule="exact"/>
        <w:jc w:val="center"/>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2025年9月26日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417CEC8-4968-40DC-8540-BEC943FDAB7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Arial Rounded MT Bold"/>
    <w:panose1 w:val="020F0502020204030204"/>
    <w:charset w:val="00"/>
    <w:family w:val="swiss"/>
    <w:pitch w:val="default"/>
    <w:sig w:usb0="00000000" w:usb1="00000000" w:usb2="00000001" w:usb3="00000000" w:csb0="0000019F" w:csb1="00000000"/>
  </w:font>
  <w:font w:name="Arial Rounded MT Bold">
    <w:panose1 w:val="020F0704030504030204"/>
    <w:charset w:val="00"/>
    <w:family w:val="auto"/>
    <w:pitch w:val="default"/>
    <w:sig w:usb0="00000003" w:usb1="00000000" w:usb2="00000000" w:usb3="00000000" w:csb0="20000001" w:csb1="00000000"/>
  </w:font>
  <w:font w:name="仿宋_GB2312">
    <w:panose1 w:val="02010609030101010101"/>
    <w:charset w:val="86"/>
    <w:family w:val="auto"/>
    <w:pitch w:val="default"/>
    <w:sig w:usb0="00000001" w:usb1="080E0000" w:usb2="00000000" w:usb3="00000000" w:csb0="00040000" w:csb1="00000000"/>
    <w:embedRegular r:id="rId2" w:fontKey="{E43FA232-D5EB-4001-9DB6-71BEBCF94D33}"/>
  </w:font>
  <w:font w:name="方正仿宋_GB2312">
    <w:panose1 w:val="02000000000000000000"/>
    <w:charset w:val="86"/>
    <w:family w:val="auto"/>
    <w:pitch w:val="default"/>
    <w:sig w:usb0="A00002BF" w:usb1="184F6CFA" w:usb2="00000012" w:usb3="00000000" w:csb0="00040001" w:csb1="00000000"/>
    <w:embedRegular r:id="rId3" w:fontKey="{E0B6225A-A6AA-4735-AD24-B5A4BB59C58E}"/>
  </w:font>
  <w:font w:name="微软雅黑">
    <w:panose1 w:val="020B0503020204020204"/>
    <w:charset w:val="86"/>
    <w:family w:val="auto"/>
    <w:pitch w:val="default"/>
    <w:sig w:usb0="80000287" w:usb1="2ACF3C50" w:usb2="00000016" w:usb3="00000000" w:csb0="0004001F" w:csb1="00000000"/>
    <w:embedRegular r:id="rId4" w:fontKey="{9987F448-B269-465A-8A21-B6E567C0180E}"/>
  </w:font>
  <w:font w:name="方正公文小标宋">
    <w:panose1 w:val="02000500000000000000"/>
    <w:charset w:val="86"/>
    <w:family w:val="auto"/>
    <w:pitch w:val="default"/>
    <w:sig w:usb0="A00002BF" w:usb1="38CF7CFA" w:usb2="00000016" w:usb3="00000000" w:csb0="00040001" w:csb1="00000000"/>
    <w:embedRegular r:id="rId5" w:fontKey="{798CA9FE-8D1B-49D3-A2BF-EB050B4A549C}"/>
  </w:font>
  <w:font w:name="Verdana">
    <w:panose1 w:val="020B0604030504040204"/>
    <w:charset w:val="00"/>
    <w:family w:val="auto"/>
    <w:pitch w:val="default"/>
    <w:sig w:usb0="A00006FF" w:usb1="4000205B" w:usb2="00000010" w:usb3="00000000" w:csb0="2000019F" w:csb1="00000000"/>
  </w:font>
  <w:font w:name="仿宋">
    <w:panose1 w:val="02010609060101010101"/>
    <w:charset w:val="86"/>
    <w:family w:val="modern"/>
    <w:pitch w:val="default"/>
    <w:sig w:usb0="800002BF" w:usb1="38CF7CFA" w:usb2="00000016" w:usb3="00000000" w:csb0="00040001"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5"/>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9A0F9E"/>
    <w:rsid w:val="0ACA6D38"/>
    <w:rsid w:val="0E2C6CE6"/>
    <w:rsid w:val="126E7E07"/>
    <w:rsid w:val="2676709B"/>
    <w:rsid w:val="41427004"/>
    <w:rsid w:val="4BEE6F96"/>
    <w:rsid w:val="65EF70A1"/>
    <w:rsid w:val="6B0863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2229</Words>
  <Characters>2314</Characters>
  <Lines>0</Lines>
  <Paragraphs>0</Paragraphs>
  <TotalTime>7</TotalTime>
  <ScaleCrop>false</ScaleCrop>
  <LinksUpToDate>false</LinksUpToDate>
  <CharactersWithSpaces>2314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2025-09-25T02:06:00Z</dcterms:created>
  <dc:creator>Administrator</dc:creator>
  <cp:lastModifiedBy>彭友倩</cp:lastModifiedBy>
  <dcterms:modified xsi:type="dcterms:W3CDTF">2025-09-26T11:03:00Z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eyJoZGlkIjoiNzcyNDNkMWVjYzNmZjZjMDRiMTMwZTJmMzc0NGQ3YzAiLCJ1c2VySWQiOiI2Njc1MjY0NTAifQ==</vt:lpwstr>
  </property>
  <property fmtid="{D5CDD505-2E9C-101B-9397-08002B2CF9AE}" pid="4" name="ICV">
    <vt:lpwstr>F7549C4EC3894C26AE7A9EB6BDC5E445_13</vt:lpwstr>
  </property>
</Properties>
</file>