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2E" w:rsidRDefault="000B172E" w:rsidP="000B172E">
      <w:pPr>
        <w:rPr>
          <w:rFonts w:ascii="仿宋_GB2312" w:eastAsia="仿宋_GB2312" w:cs="Times New Roman"/>
          <w:sz w:val="32"/>
          <w:szCs w:val="32"/>
        </w:rPr>
      </w:pPr>
      <w:r>
        <w:rPr>
          <w:rFonts w:ascii="仿宋_GB2312" w:eastAsia="仿宋_GB2312" w:cs="Times New Roman" w:hint="eastAsia"/>
          <w:sz w:val="32"/>
          <w:szCs w:val="32"/>
        </w:rPr>
        <w:t>附件</w:t>
      </w:r>
      <w:r w:rsidR="003A5528">
        <w:rPr>
          <w:rFonts w:ascii="仿宋_GB2312" w:eastAsia="仿宋_GB2312" w:cs="Times New Roman" w:hint="eastAsia"/>
          <w:sz w:val="32"/>
          <w:szCs w:val="32"/>
        </w:rPr>
        <w:t>3</w:t>
      </w:r>
      <w:r>
        <w:rPr>
          <w:rFonts w:ascii="仿宋_GB2312" w:eastAsia="仿宋_GB2312" w:cs="Times New Roman" w:hint="eastAsia"/>
          <w:sz w:val="32"/>
          <w:szCs w:val="32"/>
        </w:rPr>
        <w:t>：</w:t>
      </w:r>
    </w:p>
    <w:p w:rsidR="000B172E" w:rsidRDefault="000B172E" w:rsidP="000B172E">
      <w:pPr>
        <w:pStyle w:val="1"/>
        <w:spacing w:before="120" w:after="360" w:line="600" w:lineRule="exact"/>
        <w:jc w:val="center"/>
        <w:rPr>
          <w:rFonts w:ascii="方正小标宋简体" w:eastAsia="方正小标宋简体"/>
        </w:rPr>
      </w:pPr>
      <w:r>
        <w:rPr>
          <w:rFonts w:ascii="方正小标宋简体" w:eastAsia="方正小标宋简体" w:hint="eastAsia"/>
        </w:rPr>
        <w:t>一流本科课程遴选评审指标体系</w:t>
      </w:r>
    </w:p>
    <w:tbl>
      <w:tblPr>
        <w:tblW w:w="13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gridCol w:w="1166"/>
        <w:gridCol w:w="4665"/>
        <w:gridCol w:w="4806"/>
        <w:gridCol w:w="1498"/>
      </w:tblGrid>
      <w:tr w:rsidR="000B172E" w:rsidTr="00415FF4">
        <w:trPr>
          <w:trHeight w:val="587"/>
          <w:tblHeader/>
          <w:jc w:val="center"/>
        </w:trPr>
        <w:tc>
          <w:tcPr>
            <w:tcW w:w="928" w:type="dxa"/>
            <w:vAlign w:val="center"/>
          </w:tcPr>
          <w:p w:rsidR="000B172E" w:rsidRDefault="000B172E" w:rsidP="00415FF4">
            <w:pPr>
              <w:spacing w:line="360" w:lineRule="exact"/>
              <w:jc w:val="center"/>
              <w:rPr>
                <w:rFonts w:ascii="仿宋_GB2312" w:eastAsia="仿宋_GB2312"/>
                <w:b/>
                <w:bCs/>
                <w:sz w:val="24"/>
                <w:szCs w:val="24"/>
              </w:rPr>
            </w:pPr>
            <w:r>
              <w:rPr>
                <w:rFonts w:ascii="仿宋_GB2312" w:eastAsia="仿宋_GB2312" w:hint="eastAsia"/>
                <w:b/>
                <w:bCs/>
                <w:sz w:val="24"/>
                <w:szCs w:val="24"/>
              </w:rPr>
              <w:t>一级</w:t>
            </w:r>
          </w:p>
          <w:p w:rsidR="000B172E" w:rsidRDefault="000B172E" w:rsidP="00415FF4">
            <w:pPr>
              <w:spacing w:line="360" w:lineRule="exact"/>
              <w:jc w:val="center"/>
              <w:rPr>
                <w:rFonts w:ascii="仿宋_GB2312" w:eastAsia="仿宋_GB2312"/>
                <w:b/>
                <w:bCs/>
                <w:sz w:val="24"/>
                <w:szCs w:val="24"/>
              </w:rPr>
            </w:pPr>
            <w:r>
              <w:rPr>
                <w:rFonts w:ascii="仿宋_GB2312" w:eastAsia="仿宋_GB2312" w:hint="eastAsia"/>
                <w:b/>
                <w:bCs/>
                <w:sz w:val="24"/>
                <w:szCs w:val="24"/>
              </w:rPr>
              <w:t>指标</w:t>
            </w:r>
          </w:p>
        </w:tc>
        <w:tc>
          <w:tcPr>
            <w:tcW w:w="1166" w:type="dxa"/>
            <w:vAlign w:val="center"/>
          </w:tcPr>
          <w:p w:rsidR="000B172E" w:rsidRDefault="000B172E" w:rsidP="00415FF4">
            <w:pPr>
              <w:spacing w:line="360" w:lineRule="exact"/>
              <w:jc w:val="center"/>
              <w:rPr>
                <w:rFonts w:ascii="仿宋_GB2312" w:eastAsia="仿宋_GB2312"/>
                <w:b/>
                <w:bCs/>
                <w:sz w:val="24"/>
                <w:szCs w:val="24"/>
              </w:rPr>
            </w:pPr>
            <w:r>
              <w:rPr>
                <w:rFonts w:ascii="仿宋_GB2312" w:eastAsia="仿宋_GB2312" w:hint="eastAsia"/>
                <w:b/>
                <w:bCs/>
                <w:sz w:val="24"/>
                <w:szCs w:val="24"/>
              </w:rPr>
              <w:t>二级指标</w:t>
            </w:r>
          </w:p>
        </w:tc>
        <w:tc>
          <w:tcPr>
            <w:tcW w:w="4665" w:type="dxa"/>
            <w:vAlign w:val="center"/>
          </w:tcPr>
          <w:p w:rsidR="000B172E" w:rsidRDefault="000B172E" w:rsidP="00415FF4">
            <w:pPr>
              <w:spacing w:line="360" w:lineRule="exact"/>
              <w:jc w:val="center"/>
              <w:rPr>
                <w:rFonts w:ascii="仿宋_GB2312" w:eastAsia="仿宋_GB2312"/>
                <w:b/>
                <w:bCs/>
                <w:sz w:val="24"/>
                <w:szCs w:val="24"/>
              </w:rPr>
            </w:pPr>
            <w:r>
              <w:rPr>
                <w:rFonts w:ascii="仿宋_GB2312" w:eastAsia="仿宋_GB2312" w:hint="eastAsia"/>
                <w:b/>
                <w:bCs/>
                <w:sz w:val="24"/>
                <w:szCs w:val="24"/>
              </w:rPr>
              <w:t>主要评价内容及标准</w:t>
            </w:r>
          </w:p>
        </w:tc>
        <w:tc>
          <w:tcPr>
            <w:tcW w:w="4806" w:type="dxa"/>
            <w:vAlign w:val="center"/>
          </w:tcPr>
          <w:p w:rsidR="000B172E" w:rsidRDefault="000B172E" w:rsidP="00415FF4">
            <w:pPr>
              <w:spacing w:line="360" w:lineRule="exact"/>
              <w:jc w:val="center"/>
              <w:rPr>
                <w:rFonts w:ascii="仿宋_GB2312" w:eastAsia="仿宋_GB2312"/>
                <w:b/>
                <w:bCs/>
                <w:sz w:val="24"/>
                <w:szCs w:val="24"/>
              </w:rPr>
            </w:pPr>
            <w:r>
              <w:rPr>
                <w:rFonts w:ascii="仿宋_GB2312" w:eastAsia="仿宋_GB2312" w:hint="eastAsia"/>
                <w:b/>
                <w:bCs/>
                <w:sz w:val="24"/>
                <w:szCs w:val="24"/>
              </w:rPr>
              <w:t>评价办法</w:t>
            </w:r>
          </w:p>
        </w:tc>
        <w:tc>
          <w:tcPr>
            <w:tcW w:w="1498" w:type="dxa"/>
            <w:vAlign w:val="center"/>
          </w:tcPr>
          <w:p w:rsidR="000B172E" w:rsidRDefault="000B172E" w:rsidP="00415FF4">
            <w:pPr>
              <w:spacing w:line="360" w:lineRule="exact"/>
              <w:jc w:val="center"/>
              <w:rPr>
                <w:rFonts w:ascii="仿宋_GB2312" w:eastAsia="仿宋_GB2312" w:hint="eastAsia"/>
                <w:b/>
                <w:bCs/>
                <w:sz w:val="24"/>
                <w:szCs w:val="24"/>
              </w:rPr>
            </w:pPr>
            <w:r>
              <w:rPr>
                <w:rFonts w:ascii="仿宋_GB2312" w:eastAsia="仿宋_GB2312" w:hint="eastAsia"/>
                <w:b/>
                <w:bCs/>
                <w:sz w:val="24"/>
                <w:szCs w:val="24"/>
              </w:rPr>
              <w:t>打分范围</w:t>
            </w:r>
          </w:p>
        </w:tc>
      </w:tr>
      <w:tr w:rsidR="000B172E" w:rsidTr="00415FF4">
        <w:trPr>
          <w:trHeight w:val="1439"/>
          <w:jc w:val="center"/>
        </w:trPr>
        <w:tc>
          <w:tcPr>
            <w:tcW w:w="928"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一、总体评价(</w:t>
            </w:r>
            <w:r>
              <w:rPr>
                <w:rFonts w:ascii="仿宋_GB2312" w:eastAsia="仿宋_GB2312"/>
                <w:sz w:val="24"/>
                <w:szCs w:val="24"/>
              </w:rPr>
              <w:t>22</w:t>
            </w:r>
            <w:r>
              <w:rPr>
                <w:rFonts w:ascii="仿宋_GB2312" w:eastAsia="仿宋_GB2312" w:hint="eastAsia"/>
                <w:sz w:val="24"/>
                <w:szCs w:val="24"/>
              </w:rPr>
              <w:t>分)</w:t>
            </w:r>
          </w:p>
        </w:tc>
        <w:tc>
          <w:tcPr>
            <w:tcW w:w="1166"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1.1教学理念先进(</w:t>
            </w:r>
            <w:r>
              <w:rPr>
                <w:rFonts w:ascii="仿宋_GB2312" w:eastAsia="仿宋_GB2312"/>
                <w:sz w:val="24"/>
                <w:szCs w:val="24"/>
              </w:rPr>
              <w:t>8</w:t>
            </w:r>
            <w:r>
              <w:rPr>
                <w:rFonts w:ascii="仿宋_GB2312" w:eastAsia="仿宋_GB2312" w:hint="eastAsia"/>
                <w:sz w:val="24"/>
                <w:szCs w:val="24"/>
              </w:rPr>
              <w:t>分</w:t>
            </w:r>
            <w:r>
              <w:rPr>
                <w:rFonts w:ascii="仿宋_GB2312" w:eastAsia="仿宋_GB2312"/>
                <w:sz w:val="24"/>
                <w:szCs w:val="24"/>
              </w:rPr>
              <w:t>)</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w:t>
            </w:r>
            <w:r>
              <w:rPr>
                <w:rFonts w:ascii="仿宋_GB2312" w:eastAsia="仿宋_GB2312" w:hint="eastAsia"/>
                <w:sz w:val="24"/>
                <w:szCs w:val="24"/>
              </w:rPr>
              <w:t>坚持立德树人，课程目标、课程建设及应用和课程特色及创新等方面，体现了立德树人、培养学生德智体美劳全面发展的理念，且与课程内容恰当的结合。</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对立德树人和培养学生全面发展的理念体现度越高，与课程内容的结合度越高，得分越高。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4</w:t>
            </w:r>
            <w:r>
              <w:rPr>
                <w:rFonts w:ascii="仿宋_GB2312" w:eastAsia="仿宋_GB2312" w:hint="eastAsia"/>
                <w:sz w:val="24"/>
                <w:szCs w:val="24"/>
              </w:rPr>
              <w:t>分</w:t>
            </w:r>
          </w:p>
        </w:tc>
      </w:tr>
      <w:tr w:rsidR="000B172E" w:rsidTr="00415FF4">
        <w:trPr>
          <w:trHeight w:val="1261"/>
          <w:jc w:val="center"/>
        </w:trPr>
        <w:tc>
          <w:tcPr>
            <w:tcW w:w="928" w:type="dxa"/>
            <w:vMerge/>
            <w:vAlign w:val="center"/>
          </w:tcPr>
          <w:p w:rsidR="000B172E" w:rsidRDefault="000B172E" w:rsidP="00415FF4">
            <w:pPr>
              <w:spacing w:line="360" w:lineRule="exact"/>
              <w:rPr>
                <w:rFonts w:ascii="仿宋_GB2312" w:eastAsia="仿宋_GB2312" w:hint="eastAsia"/>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有激发学生内在潜力和学习动力的举措，有学习成效达成的证据，有体现学生课堂内外学习积极性的面上数据和典型事例。</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激发学生内在潜力和学习动力的措施越有力，成效达成度越高，得分越高。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4</w:t>
            </w:r>
            <w:r>
              <w:rPr>
                <w:rFonts w:ascii="仿宋_GB2312" w:eastAsia="仿宋_GB2312" w:hint="eastAsia"/>
                <w:sz w:val="24"/>
                <w:szCs w:val="24"/>
              </w:rPr>
              <w:t>分</w:t>
            </w:r>
          </w:p>
        </w:tc>
      </w:tr>
      <w:tr w:rsidR="000B172E" w:rsidTr="00415FF4">
        <w:trPr>
          <w:trHeight w:val="1513"/>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1.2课程申报类型科学(</w:t>
            </w:r>
            <w:r>
              <w:rPr>
                <w:rFonts w:ascii="仿宋_GB2312" w:eastAsia="仿宋_GB2312"/>
                <w:sz w:val="24"/>
                <w:szCs w:val="24"/>
              </w:rPr>
              <w:t>4</w:t>
            </w:r>
            <w:r>
              <w:rPr>
                <w:rFonts w:ascii="仿宋_GB2312" w:eastAsia="仿宋_GB2312" w:hint="eastAsia"/>
                <w:sz w:val="24"/>
                <w:szCs w:val="24"/>
              </w:rPr>
              <w:t>分</w:t>
            </w:r>
            <w:r>
              <w:rPr>
                <w:rFonts w:ascii="仿宋_GB2312" w:eastAsia="仿宋_GB2312"/>
                <w:sz w:val="24"/>
                <w:szCs w:val="24"/>
              </w:rPr>
              <w:t>)</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课程学时分配、课程目标、课程团队、课程建设及应用和课程特色及创新等方面，能够反映申报类型基本形态和特殊要求（详见教育部关于各类课程的基本定义）。</w:t>
            </w:r>
          </w:p>
        </w:tc>
        <w:tc>
          <w:tcPr>
            <w:tcW w:w="480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课程建设与运行实际与申报类型要求契合度越高，得分越高。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4</w:t>
            </w:r>
            <w:r>
              <w:rPr>
                <w:rFonts w:ascii="仿宋_GB2312" w:eastAsia="仿宋_GB2312" w:hint="eastAsia"/>
                <w:sz w:val="24"/>
                <w:szCs w:val="24"/>
              </w:rPr>
              <w:t>分</w:t>
            </w:r>
          </w:p>
        </w:tc>
      </w:tr>
      <w:tr w:rsidR="000B172E" w:rsidTr="00415FF4">
        <w:trPr>
          <w:trHeight w:val="1017"/>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sz w:val="24"/>
                <w:szCs w:val="24"/>
              </w:rPr>
              <w:t>1</w:t>
            </w: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课程特色与创新(</w:t>
            </w:r>
            <w:r>
              <w:rPr>
                <w:rFonts w:ascii="仿宋_GB2312" w:eastAsia="仿宋_GB2312"/>
                <w:sz w:val="24"/>
                <w:szCs w:val="24"/>
              </w:rPr>
              <w:t>5</w:t>
            </w:r>
            <w:r>
              <w:rPr>
                <w:rFonts w:ascii="仿宋_GB2312" w:eastAsia="仿宋_GB2312" w:hint="eastAsia"/>
                <w:sz w:val="24"/>
                <w:szCs w:val="24"/>
              </w:rPr>
              <w:t>分</w:t>
            </w:r>
            <w:r>
              <w:rPr>
                <w:rFonts w:ascii="仿宋_GB2312" w:eastAsia="仿宋_GB2312"/>
                <w:sz w:val="24"/>
                <w:szCs w:val="24"/>
              </w:rPr>
              <w:t>)</w:t>
            </w: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课程建设在以上各个方面有创新性举措，在同类课程中具有鲜明特色、良好的教学效果。</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创新举措越有效、特色越鲜明，得分越高。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5</w:t>
            </w:r>
            <w:r>
              <w:rPr>
                <w:rFonts w:ascii="仿宋_GB2312" w:eastAsia="仿宋_GB2312" w:hint="eastAsia"/>
                <w:sz w:val="24"/>
                <w:szCs w:val="24"/>
              </w:rPr>
              <w:t>分</w:t>
            </w:r>
          </w:p>
        </w:tc>
      </w:tr>
      <w:tr w:rsidR="000B172E" w:rsidTr="00415FF4">
        <w:trPr>
          <w:trHeight w:val="954"/>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课堂教学评价好(</w:t>
            </w:r>
            <w:r>
              <w:rPr>
                <w:rFonts w:ascii="仿宋_GB2312" w:eastAsia="仿宋_GB2312"/>
                <w:sz w:val="24"/>
                <w:szCs w:val="24"/>
              </w:rPr>
              <w:t>5</w:t>
            </w:r>
            <w:r>
              <w:rPr>
                <w:rFonts w:ascii="仿宋_GB2312" w:eastAsia="仿宋_GB2312" w:hint="eastAsia"/>
                <w:sz w:val="24"/>
                <w:szCs w:val="24"/>
              </w:rPr>
              <w:t>分</w:t>
            </w:r>
            <w:r>
              <w:rPr>
                <w:rFonts w:ascii="仿宋_GB2312" w:eastAsia="仿宋_GB2312"/>
                <w:sz w:val="24"/>
                <w:szCs w:val="24"/>
              </w:rPr>
              <w:t>)</w:t>
            </w: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学校对课程课堂教学的评价较高，在校内处于优秀等次。</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学校评价越好，得分越高。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5</w:t>
            </w:r>
            <w:r>
              <w:rPr>
                <w:rFonts w:ascii="仿宋_GB2312" w:eastAsia="仿宋_GB2312" w:hint="eastAsia"/>
                <w:sz w:val="24"/>
                <w:szCs w:val="24"/>
              </w:rPr>
              <w:t>分</w:t>
            </w:r>
          </w:p>
        </w:tc>
      </w:tr>
      <w:tr w:rsidR="000B172E" w:rsidTr="00415FF4">
        <w:trPr>
          <w:trHeight w:val="2246"/>
          <w:jc w:val="center"/>
        </w:trPr>
        <w:tc>
          <w:tcPr>
            <w:tcW w:w="928"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二、教学团队(</w:t>
            </w:r>
            <w:r>
              <w:rPr>
                <w:rFonts w:ascii="仿宋_GB2312" w:eastAsia="仿宋_GB2312"/>
                <w:sz w:val="24"/>
                <w:szCs w:val="24"/>
              </w:rPr>
              <w:t>10</w:t>
            </w:r>
            <w:r>
              <w:rPr>
                <w:rFonts w:ascii="仿宋_GB2312" w:eastAsia="仿宋_GB2312" w:hint="eastAsia"/>
                <w:sz w:val="24"/>
                <w:szCs w:val="24"/>
              </w:rPr>
              <w:t>分)</w:t>
            </w:r>
          </w:p>
        </w:tc>
        <w:tc>
          <w:tcPr>
            <w:tcW w:w="116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2.1团队人员结构及任务分工合理(</w:t>
            </w:r>
            <w:r>
              <w:rPr>
                <w:rFonts w:ascii="仿宋_GB2312" w:eastAsia="仿宋_GB2312"/>
                <w:sz w:val="24"/>
                <w:szCs w:val="24"/>
              </w:rPr>
              <w:t>5</w:t>
            </w:r>
            <w:r>
              <w:rPr>
                <w:rFonts w:ascii="仿宋_GB2312" w:eastAsia="仿宋_GB2312" w:hint="eastAsia"/>
                <w:sz w:val="24"/>
                <w:szCs w:val="24"/>
              </w:rPr>
              <w:t>分)</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团队组建真实有效，均为单独或合作承担该课程教学任务的教师，成员分工符合教学需要，能够保障教学目标实现，促进提升教学效果。</w:t>
            </w:r>
          </w:p>
        </w:tc>
        <w:tc>
          <w:tcPr>
            <w:tcW w:w="480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教务系统截图或学校证证明材料越全面、成员分工越合理，得分越高。优先支持每个教学周期以单个教学班（非平行班）为依托组建的团队，同等条件下得分可高出一个等级。</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5</w:t>
            </w:r>
            <w:r>
              <w:rPr>
                <w:rFonts w:ascii="仿宋_GB2312" w:eastAsia="仿宋_GB2312" w:hint="eastAsia"/>
                <w:sz w:val="24"/>
                <w:szCs w:val="24"/>
              </w:rPr>
              <w:t>分</w:t>
            </w:r>
          </w:p>
        </w:tc>
      </w:tr>
      <w:tr w:rsidR="000B172E" w:rsidTr="00415FF4">
        <w:trPr>
          <w:trHeight w:val="2247"/>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2.2.课程团队教学相关成果丰富(</w:t>
            </w:r>
            <w:r>
              <w:rPr>
                <w:rFonts w:ascii="仿宋_GB2312" w:eastAsia="仿宋_GB2312"/>
                <w:sz w:val="24"/>
                <w:szCs w:val="24"/>
              </w:rPr>
              <w:t>5</w:t>
            </w:r>
            <w:r>
              <w:rPr>
                <w:rFonts w:ascii="仿宋_GB2312" w:eastAsia="仿宋_GB2312" w:hint="eastAsia"/>
                <w:sz w:val="24"/>
                <w:szCs w:val="24"/>
              </w:rPr>
              <w:t>分)</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团队成员具备良好的师德师风，具有丰富的教学经验、较高学术造诣，具有校级及以上教学改革研究项目或教学成果作支撑，或拥有校级及以上教学名师、教学能手等荣誉，或获得校级教学比赛一等奖及以上奖励。</w:t>
            </w:r>
          </w:p>
        </w:tc>
        <w:tc>
          <w:tcPr>
            <w:tcW w:w="480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体现团队教师在师德师风、学术造诣、教学水平等方面的研究成果及所获奖励的等级越高、数量越多，得分越高。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5</w:t>
            </w:r>
            <w:r>
              <w:rPr>
                <w:rFonts w:ascii="仿宋_GB2312" w:eastAsia="仿宋_GB2312" w:hint="eastAsia"/>
                <w:sz w:val="24"/>
                <w:szCs w:val="24"/>
              </w:rPr>
              <w:t>分</w:t>
            </w:r>
          </w:p>
        </w:tc>
      </w:tr>
      <w:tr w:rsidR="000B172E" w:rsidTr="00415FF4">
        <w:trPr>
          <w:trHeight w:val="1129"/>
          <w:jc w:val="center"/>
        </w:trPr>
        <w:tc>
          <w:tcPr>
            <w:tcW w:w="928"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三、课程目标</w:t>
            </w:r>
          </w:p>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lastRenderedPageBreak/>
              <w:t>(</w:t>
            </w:r>
            <w:r>
              <w:rPr>
                <w:rFonts w:ascii="仿宋_GB2312" w:eastAsia="仿宋_GB2312"/>
                <w:sz w:val="24"/>
                <w:szCs w:val="24"/>
              </w:rPr>
              <w:t>6</w:t>
            </w:r>
            <w:r>
              <w:rPr>
                <w:rFonts w:ascii="仿宋_GB2312" w:eastAsia="仿宋_GB2312" w:hint="eastAsia"/>
                <w:sz w:val="24"/>
                <w:szCs w:val="24"/>
              </w:rPr>
              <w:t>分)</w:t>
            </w:r>
          </w:p>
        </w:tc>
        <w:tc>
          <w:tcPr>
            <w:tcW w:w="1166"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lastRenderedPageBreak/>
              <w:t>3.1课程目标有效支撑</w:t>
            </w:r>
            <w:r>
              <w:rPr>
                <w:rFonts w:ascii="仿宋_GB2312" w:eastAsia="仿宋_GB2312" w:hint="eastAsia"/>
                <w:sz w:val="24"/>
                <w:szCs w:val="24"/>
              </w:rPr>
              <w:lastRenderedPageBreak/>
              <w:t>培养目标达成(</w:t>
            </w:r>
            <w:r>
              <w:rPr>
                <w:rFonts w:ascii="仿宋_GB2312" w:eastAsia="仿宋_GB2312"/>
                <w:sz w:val="24"/>
                <w:szCs w:val="24"/>
              </w:rPr>
              <w:t>6</w:t>
            </w:r>
            <w:r>
              <w:rPr>
                <w:rFonts w:ascii="仿宋_GB2312" w:eastAsia="仿宋_GB2312" w:hint="eastAsia"/>
                <w:sz w:val="24"/>
                <w:szCs w:val="24"/>
              </w:rPr>
              <w:t>分)</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w:t>
            </w:r>
            <w:r>
              <w:rPr>
                <w:rFonts w:ascii="仿宋_GB2312" w:eastAsia="仿宋_GB2312" w:hint="eastAsia"/>
                <w:sz w:val="24"/>
                <w:szCs w:val="24"/>
              </w:rPr>
              <w:t>课程目标与人才培养目标映射关系明确，且符合学校办学定位。</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课程目标与学校办学定位和人才培养目标符合度越高，得分越高。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1258"/>
          <w:jc w:val="center"/>
        </w:trPr>
        <w:tc>
          <w:tcPr>
            <w:tcW w:w="928" w:type="dxa"/>
            <w:vMerge/>
            <w:vAlign w:val="center"/>
          </w:tcPr>
          <w:p w:rsidR="000B172E" w:rsidRDefault="000B172E" w:rsidP="00415FF4">
            <w:pPr>
              <w:spacing w:line="360" w:lineRule="exact"/>
              <w:rPr>
                <w:rFonts w:ascii="仿宋_GB2312" w:eastAsia="仿宋_GB2312" w:hint="eastAsia"/>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sz w:val="24"/>
                <w:szCs w:val="24"/>
              </w:rPr>
              <w:t>2.</w:t>
            </w:r>
            <w:r>
              <w:rPr>
                <w:rFonts w:ascii="仿宋_GB2312" w:eastAsia="仿宋_GB2312" w:hint="eastAsia"/>
                <w:sz w:val="24"/>
                <w:szCs w:val="24"/>
              </w:rPr>
              <w:t>注重知识、能力、素质培养，课程目标覆盖知识、能力和素质三个维度。</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覆盖度越全面，得分越高。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1097"/>
          <w:jc w:val="center"/>
        </w:trPr>
        <w:tc>
          <w:tcPr>
            <w:tcW w:w="928"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lastRenderedPageBreak/>
              <w:t>四、课程建设及应用情况(</w:t>
            </w:r>
            <w:r>
              <w:rPr>
                <w:rFonts w:ascii="仿宋_GB2312" w:eastAsia="仿宋_GB2312"/>
                <w:sz w:val="24"/>
                <w:szCs w:val="24"/>
              </w:rPr>
              <w:t>54</w:t>
            </w:r>
            <w:r>
              <w:rPr>
                <w:rFonts w:ascii="仿宋_GB2312" w:eastAsia="仿宋_GB2312" w:hint="eastAsia"/>
                <w:sz w:val="24"/>
                <w:szCs w:val="24"/>
              </w:rPr>
              <w:t>分)</w:t>
            </w:r>
          </w:p>
        </w:tc>
        <w:tc>
          <w:tcPr>
            <w:tcW w:w="1166"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4.1课程教学设计科学合理(</w:t>
            </w:r>
            <w:r>
              <w:rPr>
                <w:rFonts w:ascii="仿宋_GB2312" w:eastAsia="仿宋_GB2312"/>
                <w:sz w:val="24"/>
                <w:szCs w:val="24"/>
              </w:rPr>
              <w:t>10</w:t>
            </w:r>
            <w:r>
              <w:rPr>
                <w:rFonts w:ascii="仿宋_GB2312" w:eastAsia="仿宋_GB2312" w:hint="eastAsia"/>
                <w:sz w:val="24"/>
                <w:szCs w:val="24"/>
              </w:rPr>
              <w:t>分)</w:t>
            </w: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1</w:t>
            </w:r>
            <w:r>
              <w:rPr>
                <w:rFonts w:ascii="仿宋_GB2312" w:eastAsia="仿宋_GB2312"/>
                <w:sz w:val="24"/>
                <w:szCs w:val="24"/>
              </w:rPr>
              <w:t>.</w:t>
            </w:r>
            <w:r>
              <w:rPr>
                <w:rFonts w:ascii="仿宋_GB2312" w:eastAsia="仿宋_GB2312" w:hint="eastAsia"/>
                <w:sz w:val="24"/>
                <w:szCs w:val="24"/>
              </w:rPr>
              <w:t>能够结合本课程的建设发展历程，结合学情分析，找准教学改革要解决的重点问题。</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重点问题找的越准确、与学校实际越吻合，得分越高。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1476"/>
          <w:jc w:val="center"/>
        </w:trPr>
        <w:tc>
          <w:tcPr>
            <w:tcW w:w="928" w:type="dxa"/>
            <w:vMerge/>
            <w:vAlign w:val="center"/>
          </w:tcPr>
          <w:p w:rsidR="000B172E" w:rsidRDefault="000B172E" w:rsidP="00415FF4">
            <w:pPr>
              <w:spacing w:line="360" w:lineRule="exact"/>
              <w:rPr>
                <w:rFonts w:ascii="仿宋_GB2312" w:eastAsia="仿宋_GB2312" w:hint="eastAsia"/>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sz w:val="24"/>
                <w:szCs w:val="24"/>
              </w:rPr>
              <w:t>2.</w:t>
            </w:r>
            <w:r>
              <w:rPr>
                <w:rFonts w:ascii="仿宋_GB2312" w:eastAsia="仿宋_GB2312" w:hint="eastAsia"/>
                <w:sz w:val="24"/>
                <w:szCs w:val="24"/>
              </w:rPr>
              <w:t>课程教学改革脉络清晰，始终以课程目标统领课程建设与改进全过程，教学策略、教学方法、教学过程、教学评价等设计合理。</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改革脉络越清晰、改革举措针对性越强、持续改进特征越强，得分越高。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4</w:t>
            </w:r>
            <w:r>
              <w:rPr>
                <w:rFonts w:ascii="仿宋_GB2312" w:eastAsia="仿宋_GB2312" w:hint="eastAsia"/>
                <w:sz w:val="24"/>
                <w:szCs w:val="24"/>
              </w:rPr>
              <w:t>分</w:t>
            </w:r>
          </w:p>
        </w:tc>
      </w:tr>
      <w:tr w:rsidR="000B172E" w:rsidTr="00415FF4">
        <w:trPr>
          <w:trHeight w:val="875"/>
          <w:jc w:val="center"/>
        </w:trPr>
        <w:tc>
          <w:tcPr>
            <w:tcW w:w="928" w:type="dxa"/>
            <w:vMerge/>
            <w:vAlign w:val="center"/>
          </w:tcPr>
          <w:p w:rsidR="000B172E" w:rsidRDefault="000B172E" w:rsidP="00415FF4">
            <w:pPr>
              <w:spacing w:line="360" w:lineRule="exact"/>
              <w:rPr>
                <w:rFonts w:ascii="仿宋_GB2312" w:eastAsia="仿宋_GB2312" w:hint="eastAsia"/>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sz w:val="24"/>
                <w:szCs w:val="24"/>
              </w:rPr>
              <w:t>3.</w:t>
            </w:r>
            <w:r>
              <w:rPr>
                <w:rFonts w:ascii="仿宋_GB2312" w:eastAsia="仿宋_GB2312" w:hint="eastAsia"/>
                <w:sz w:val="24"/>
                <w:szCs w:val="24"/>
              </w:rPr>
              <w:t>课堂内、外合理应用新教学技术提高教学效率。</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有证据说明教学效率有提高、教学成效显著，得分越高。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787"/>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4.2课程内容与时俱进</w:t>
            </w:r>
            <w:r>
              <w:rPr>
                <w:rFonts w:ascii="仿宋_GB2312" w:eastAsia="仿宋_GB2312"/>
                <w:sz w:val="24"/>
                <w:szCs w:val="24"/>
              </w:rPr>
              <w:t>(10分)</w:t>
            </w:r>
          </w:p>
        </w:tc>
        <w:tc>
          <w:tcPr>
            <w:tcW w:w="4665"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w:t>
            </w:r>
            <w:r>
              <w:rPr>
                <w:rFonts w:ascii="仿宋_GB2312" w:eastAsia="仿宋_GB2312" w:hint="eastAsia"/>
                <w:sz w:val="24"/>
                <w:szCs w:val="24"/>
              </w:rPr>
              <w:t>课程内容结构符合学生成长规律，依据学科前沿动态与社会发展需求动态更新知识体系，契合课程目标。</w:t>
            </w:r>
          </w:p>
        </w:tc>
        <w:tc>
          <w:tcPr>
            <w:tcW w:w="480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w:t>
            </w:r>
            <w:r>
              <w:rPr>
                <w:rFonts w:ascii="仿宋_GB2312" w:eastAsia="仿宋_GB2312" w:hint="eastAsia"/>
                <w:sz w:val="24"/>
                <w:szCs w:val="24"/>
              </w:rPr>
              <w:t>课程内容与课程目标契合度越高，得分越高。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354"/>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Merge/>
            <w:vAlign w:val="center"/>
          </w:tcPr>
          <w:p w:rsidR="000B172E" w:rsidRDefault="000B172E" w:rsidP="00415FF4">
            <w:pPr>
              <w:spacing w:line="360" w:lineRule="exact"/>
              <w:rPr>
                <w:rFonts w:ascii="仿宋_GB2312" w:eastAsia="仿宋_GB2312" w:hint="eastAsia"/>
                <w:sz w:val="24"/>
                <w:szCs w:val="24"/>
              </w:rPr>
            </w:pP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教学内容跟踪学科前沿和社会发展需求，思想性、科学性与时代感越强，得分越高。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753"/>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教材选用符合教育部和学校教材选用规定。</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在符合规定的前提下，教材选用质量越高，得分越高。不符合有关教材选用规定的课程，不得分。</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sz w:val="24"/>
                <w:szCs w:val="24"/>
              </w:rPr>
              <w:t>0</w:t>
            </w: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分</w:t>
            </w:r>
          </w:p>
        </w:tc>
      </w:tr>
      <w:tr w:rsidR="000B172E" w:rsidTr="00415FF4">
        <w:trPr>
          <w:trHeight w:val="316"/>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3</w:t>
            </w:r>
            <w:r>
              <w:rPr>
                <w:rFonts w:ascii="仿宋_GB2312" w:eastAsia="仿宋_GB2312"/>
                <w:sz w:val="24"/>
                <w:szCs w:val="24"/>
              </w:rPr>
              <w:t>.</w:t>
            </w:r>
            <w:r>
              <w:rPr>
                <w:rFonts w:ascii="仿宋_GB2312" w:eastAsia="仿宋_GB2312" w:hint="eastAsia"/>
                <w:sz w:val="24"/>
                <w:szCs w:val="24"/>
              </w:rPr>
              <w:t>教学资源丰富多样，体现思想性、科学性与时代性。</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教学资源越丰富(如：多媒体、网络课程、虚拟仿真等），得分越高。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2</w:t>
            </w:r>
            <w:r>
              <w:rPr>
                <w:rFonts w:ascii="仿宋_GB2312" w:eastAsia="仿宋_GB2312" w:hint="eastAsia"/>
                <w:sz w:val="24"/>
                <w:szCs w:val="24"/>
              </w:rPr>
              <w:t>分</w:t>
            </w:r>
          </w:p>
        </w:tc>
      </w:tr>
      <w:tr w:rsidR="000B172E" w:rsidTr="00415FF4">
        <w:trPr>
          <w:trHeight w:val="1108"/>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4.3教学组织与实施突出学生中心地位</w:t>
            </w:r>
            <w:r>
              <w:rPr>
                <w:rFonts w:ascii="仿宋_GB2312" w:eastAsia="仿宋_GB2312"/>
                <w:sz w:val="24"/>
                <w:szCs w:val="24"/>
              </w:rPr>
              <w:t>(22分)</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w:t>
            </w:r>
            <w:r>
              <w:rPr>
                <w:rFonts w:ascii="仿宋_GB2312" w:eastAsia="仿宋_GB2312" w:hint="eastAsia"/>
                <w:sz w:val="24"/>
                <w:szCs w:val="24"/>
              </w:rPr>
              <w:t>创新教与学模式，教与学活动与课程目标映射关系清晰，能覆盖所有课程目标，不同教学活动学时分配体现课程目标主次关系。</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教与学活动对课程目标覆盖度和学时分配对课程目标主次关系的体现度越高，得分越高。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681"/>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根据学生认知规律和接受特点，教学设计和教与学活动均体现出因材施教的理念，并有实例证据。</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因材施教的理念体现度越高，实证效果越好，得分越高。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5</w:t>
            </w:r>
            <w:r>
              <w:rPr>
                <w:rFonts w:ascii="仿宋_GB2312" w:eastAsia="仿宋_GB2312" w:hint="eastAsia"/>
                <w:sz w:val="24"/>
                <w:szCs w:val="24"/>
              </w:rPr>
              <w:t>分</w:t>
            </w:r>
          </w:p>
        </w:tc>
      </w:tr>
      <w:tr w:rsidR="000B172E" w:rsidTr="00415FF4">
        <w:trPr>
          <w:trHeight w:val="454"/>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3</w:t>
            </w:r>
            <w:r>
              <w:rPr>
                <w:rFonts w:ascii="仿宋_GB2312" w:eastAsia="仿宋_GB2312"/>
                <w:sz w:val="24"/>
                <w:szCs w:val="24"/>
              </w:rPr>
              <w:t>.</w:t>
            </w:r>
            <w:r>
              <w:rPr>
                <w:rFonts w:ascii="仿宋_GB2312" w:eastAsia="仿宋_GB2312" w:hint="eastAsia"/>
                <w:sz w:val="24"/>
                <w:szCs w:val="24"/>
              </w:rPr>
              <w:t>教学能联系学生原有知识与经验，促进深度学习，有多种形式增进师生、生生交流互动，能有效调动学生参与教学活动。</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学生参与教学活动的参与度越高，得分越高。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5</w:t>
            </w:r>
            <w:r>
              <w:rPr>
                <w:rFonts w:ascii="仿宋_GB2312" w:eastAsia="仿宋_GB2312" w:hint="eastAsia"/>
                <w:sz w:val="24"/>
                <w:szCs w:val="24"/>
              </w:rPr>
              <w:t>分</w:t>
            </w:r>
          </w:p>
        </w:tc>
      </w:tr>
      <w:tr w:rsidR="000B172E" w:rsidTr="00415FF4">
        <w:trPr>
          <w:trHeight w:val="742"/>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.积极建设视频、慕课等优质课程资源，出版教材或发布运行在线开放课程，影响力大，促进资源共享、知识生成。</w:t>
            </w:r>
          </w:p>
        </w:tc>
        <w:tc>
          <w:tcPr>
            <w:tcW w:w="480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建设的课程资源影响力越大，得分越高。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641"/>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sz w:val="24"/>
                <w:szCs w:val="24"/>
              </w:rPr>
              <w:t>5.</w:t>
            </w:r>
            <w:r>
              <w:rPr>
                <w:rFonts w:ascii="仿宋_GB2312" w:eastAsia="仿宋_GB2312" w:hint="eastAsia"/>
                <w:sz w:val="24"/>
                <w:szCs w:val="24"/>
              </w:rPr>
              <w:t>监测学生学习全过程和效果，有明确的反馈环节，结果反馈及时，教学效果显著。</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1</w:t>
            </w:r>
            <w:r>
              <w:rPr>
                <w:rFonts w:ascii="仿宋_GB2312" w:eastAsia="仿宋_GB2312"/>
                <w:sz w:val="24"/>
                <w:szCs w:val="24"/>
              </w:rPr>
              <w:t>.</w:t>
            </w:r>
            <w:r>
              <w:rPr>
                <w:rFonts w:ascii="仿宋_GB2312" w:eastAsia="仿宋_GB2312" w:hint="eastAsia"/>
                <w:sz w:val="24"/>
                <w:szCs w:val="24"/>
              </w:rPr>
              <w:t>反馈越及时、全面，得分越高。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2</w:t>
            </w:r>
            <w:r>
              <w:rPr>
                <w:rFonts w:ascii="仿宋_GB2312" w:eastAsia="仿宋_GB2312" w:hint="eastAsia"/>
                <w:sz w:val="24"/>
                <w:szCs w:val="24"/>
              </w:rPr>
              <w:t>分</w:t>
            </w:r>
          </w:p>
        </w:tc>
      </w:tr>
      <w:tr w:rsidR="000B172E" w:rsidTr="00415FF4">
        <w:trPr>
          <w:trHeight w:val="521"/>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Merge/>
            <w:vAlign w:val="center"/>
          </w:tcPr>
          <w:p w:rsidR="000B172E" w:rsidRDefault="000B172E" w:rsidP="00415FF4">
            <w:pPr>
              <w:spacing w:line="360" w:lineRule="exact"/>
              <w:rPr>
                <w:rFonts w:ascii="仿宋_GB2312" w:eastAsia="仿宋_GB2312"/>
                <w:sz w:val="24"/>
                <w:szCs w:val="24"/>
              </w:rPr>
            </w:pP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学生评教结果越好，学生成绩分布越科学，得分越高。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4</w:t>
            </w:r>
            <w:r>
              <w:rPr>
                <w:rFonts w:ascii="仿宋_GB2312" w:eastAsia="仿宋_GB2312" w:hint="eastAsia"/>
                <w:sz w:val="24"/>
                <w:szCs w:val="24"/>
              </w:rPr>
              <w:t>分</w:t>
            </w:r>
          </w:p>
        </w:tc>
      </w:tr>
      <w:tr w:rsidR="000B172E" w:rsidTr="00415FF4">
        <w:trPr>
          <w:trHeight w:val="1241"/>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4.4课程管理与评价科学且可</w:t>
            </w:r>
            <w:r>
              <w:rPr>
                <w:rFonts w:ascii="仿宋_GB2312" w:eastAsia="仿宋_GB2312" w:hint="eastAsia"/>
                <w:sz w:val="24"/>
                <w:szCs w:val="24"/>
              </w:rPr>
              <w:lastRenderedPageBreak/>
              <w:t>测量</w:t>
            </w:r>
            <w:r>
              <w:rPr>
                <w:rFonts w:ascii="仿宋_GB2312" w:eastAsia="仿宋_GB2312"/>
                <w:sz w:val="24"/>
                <w:szCs w:val="24"/>
              </w:rPr>
              <w:t>(12分)</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w:t>
            </w:r>
            <w:r>
              <w:rPr>
                <w:rFonts w:ascii="仿宋_GB2312" w:eastAsia="仿宋_GB2312" w:hint="eastAsia"/>
                <w:sz w:val="24"/>
                <w:szCs w:val="24"/>
              </w:rPr>
              <w:t>教师备课要求明确，教学过程材料丰富（如：教学设计、教学资料、教学反思、学习分析等)，可如实反映课程运行实况及效果。</w:t>
            </w:r>
          </w:p>
        </w:tc>
        <w:tc>
          <w:tcPr>
            <w:tcW w:w="480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教学过程资料越丰富、越详实，得分越高。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910"/>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学生学习管理严格，学习相关材料（如：测验、试卷、成绩等）记录、存档完整。</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学习相关资料越完整，管理越严格，得分越高。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1075"/>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3</w:t>
            </w:r>
            <w:r>
              <w:rPr>
                <w:rFonts w:ascii="仿宋_GB2312" w:eastAsia="仿宋_GB2312"/>
                <w:sz w:val="24"/>
                <w:szCs w:val="24"/>
              </w:rPr>
              <w:t>.</w:t>
            </w:r>
            <w:r>
              <w:rPr>
                <w:rFonts w:ascii="仿宋_GB2312" w:eastAsia="仿宋_GB2312" w:hint="eastAsia"/>
                <w:sz w:val="24"/>
                <w:szCs w:val="24"/>
              </w:rPr>
              <w:t>针对教学目标、教学内容、教学组织等采用多元化考核评价，学习评价覆盖所有课程目标且方法适切，难度适宜，评价形式多元，体现出表现性评价（如：作品、方案等）和形成性评价的理念，过程可回溯。</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方法越适当、难度越适宜、形式越多元、理念越先进，得分越高。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842"/>
          <w:jc w:val="center"/>
        </w:trPr>
        <w:tc>
          <w:tcPr>
            <w:tcW w:w="928" w:type="dxa"/>
            <w:vMerge/>
            <w:vAlign w:val="center"/>
          </w:tcPr>
          <w:p w:rsidR="000B172E" w:rsidRDefault="000B172E" w:rsidP="00415FF4">
            <w:pPr>
              <w:spacing w:line="360" w:lineRule="exact"/>
              <w:rPr>
                <w:rFonts w:ascii="仿宋_GB2312" w:eastAsia="仿宋_GB2312"/>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4</w:t>
            </w:r>
            <w:r>
              <w:rPr>
                <w:rFonts w:ascii="仿宋_GB2312" w:eastAsia="仿宋_GB2312"/>
                <w:sz w:val="24"/>
                <w:szCs w:val="24"/>
              </w:rPr>
              <w:t>.</w:t>
            </w:r>
            <w:r>
              <w:rPr>
                <w:rFonts w:ascii="仿宋_GB2312" w:eastAsia="仿宋_GB2312" w:hint="eastAsia"/>
                <w:sz w:val="24"/>
                <w:szCs w:val="24"/>
              </w:rPr>
              <w:t>有针对课程评价的反思和改进方案，评价结果有效促进了课程循环改进。</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改进方案越科学、改进效果越好，得分越高。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775"/>
          <w:jc w:val="center"/>
        </w:trPr>
        <w:tc>
          <w:tcPr>
            <w:tcW w:w="928"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五、课程建设计划(</w:t>
            </w:r>
            <w:r>
              <w:rPr>
                <w:rFonts w:ascii="仿宋_GB2312" w:eastAsia="仿宋_GB2312"/>
                <w:sz w:val="24"/>
                <w:szCs w:val="24"/>
              </w:rPr>
              <w:t>8</w:t>
            </w:r>
            <w:r>
              <w:rPr>
                <w:rFonts w:ascii="仿宋_GB2312" w:eastAsia="仿宋_GB2312" w:hint="eastAsia"/>
                <w:sz w:val="24"/>
                <w:szCs w:val="24"/>
              </w:rPr>
              <w:t>分)</w:t>
            </w:r>
          </w:p>
        </w:tc>
        <w:tc>
          <w:tcPr>
            <w:tcW w:w="1166" w:type="dxa"/>
            <w:vMerge w:val="restart"/>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5.1课程建设计划(</w:t>
            </w:r>
            <w:r>
              <w:rPr>
                <w:rFonts w:ascii="仿宋_GB2312" w:eastAsia="仿宋_GB2312"/>
                <w:sz w:val="24"/>
                <w:szCs w:val="24"/>
              </w:rPr>
              <w:t>8</w:t>
            </w:r>
            <w:r>
              <w:rPr>
                <w:rFonts w:ascii="仿宋_GB2312" w:eastAsia="仿宋_GB2312" w:hint="eastAsia"/>
                <w:sz w:val="24"/>
                <w:szCs w:val="24"/>
              </w:rPr>
              <w:t>分)</w:t>
            </w:r>
          </w:p>
        </w:tc>
        <w:tc>
          <w:tcPr>
            <w:tcW w:w="4665"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w:t>
            </w:r>
            <w:r>
              <w:rPr>
                <w:rFonts w:ascii="仿宋_GB2312" w:eastAsia="仿宋_GB2312" w:hint="eastAsia"/>
                <w:sz w:val="24"/>
                <w:szCs w:val="24"/>
              </w:rPr>
              <w:t>有今后五年课程的持续建设计划和建设目标，并根据前期课程建设及教学实施情况，针对性地提出需要进一步解决的问题。</w:t>
            </w:r>
          </w:p>
        </w:tc>
        <w:tc>
          <w:tcPr>
            <w:tcW w:w="4806" w:type="dxa"/>
            <w:vAlign w:val="center"/>
          </w:tcPr>
          <w:p w:rsidR="000B172E" w:rsidRDefault="000B172E" w:rsidP="00415FF4">
            <w:pPr>
              <w:spacing w:line="360" w:lineRule="exact"/>
              <w:rPr>
                <w:rFonts w:ascii="仿宋_GB2312" w:eastAsia="仿宋_GB2312"/>
                <w:sz w:val="24"/>
                <w:szCs w:val="24"/>
              </w:rPr>
            </w:pPr>
            <w:r>
              <w:rPr>
                <w:rFonts w:ascii="仿宋_GB2312" w:eastAsia="仿宋_GB2312" w:hint="eastAsia"/>
                <w:sz w:val="24"/>
                <w:szCs w:val="24"/>
              </w:rPr>
              <w:t>目标符合实际，问题针对性越强，得分越高。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3</w:t>
            </w:r>
            <w:r>
              <w:rPr>
                <w:rFonts w:ascii="仿宋_GB2312" w:eastAsia="仿宋_GB2312" w:hint="eastAsia"/>
                <w:sz w:val="24"/>
                <w:szCs w:val="24"/>
              </w:rPr>
              <w:t>分</w:t>
            </w:r>
          </w:p>
        </w:tc>
      </w:tr>
      <w:tr w:rsidR="000B172E" w:rsidTr="00415FF4">
        <w:trPr>
          <w:trHeight w:val="654"/>
          <w:jc w:val="center"/>
        </w:trPr>
        <w:tc>
          <w:tcPr>
            <w:tcW w:w="928" w:type="dxa"/>
            <w:vMerge/>
            <w:vAlign w:val="center"/>
          </w:tcPr>
          <w:p w:rsidR="000B172E" w:rsidRDefault="000B172E" w:rsidP="00415FF4">
            <w:pPr>
              <w:spacing w:line="360" w:lineRule="exact"/>
              <w:rPr>
                <w:rFonts w:ascii="仿宋_GB2312" w:eastAsia="仿宋_GB2312" w:hint="eastAsia"/>
                <w:sz w:val="24"/>
                <w:szCs w:val="24"/>
              </w:rPr>
            </w:pPr>
          </w:p>
        </w:tc>
        <w:tc>
          <w:tcPr>
            <w:tcW w:w="1166" w:type="dxa"/>
            <w:vMerge/>
            <w:vAlign w:val="center"/>
          </w:tcPr>
          <w:p w:rsidR="000B172E" w:rsidRDefault="000B172E" w:rsidP="00415FF4">
            <w:pPr>
              <w:spacing w:line="360" w:lineRule="exact"/>
              <w:rPr>
                <w:rFonts w:ascii="仿宋_GB2312" w:eastAsia="仿宋_GB2312" w:hint="eastAsia"/>
                <w:sz w:val="24"/>
                <w:szCs w:val="24"/>
              </w:rPr>
            </w:pPr>
          </w:p>
        </w:tc>
        <w:tc>
          <w:tcPr>
            <w:tcW w:w="4665"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2</w:t>
            </w:r>
            <w:r>
              <w:rPr>
                <w:rFonts w:ascii="仿宋_GB2312" w:eastAsia="仿宋_GB2312"/>
                <w:sz w:val="24"/>
                <w:szCs w:val="24"/>
              </w:rPr>
              <w:t>.</w:t>
            </w:r>
            <w:r>
              <w:rPr>
                <w:rFonts w:ascii="仿宋_GB2312" w:eastAsia="仿宋_GB2312" w:hint="eastAsia"/>
                <w:sz w:val="24"/>
                <w:szCs w:val="24"/>
              </w:rPr>
              <w:t>针对问题和建设目标，提出明确的改革方向和改进措施。</w:t>
            </w:r>
          </w:p>
        </w:tc>
        <w:tc>
          <w:tcPr>
            <w:tcW w:w="4806" w:type="dxa"/>
            <w:vAlign w:val="center"/>
          </w:tcPr>
          <w:p w:rsidR="000B172E" w:rsidRDefault="000B172E" w:rsidP="00415FF4">
            <w:pPr>
              <w:spacing w:line="360" w:lineRule="exact"/>
              <w:rPr>
                <w:rFonts w:ascii="仿宋_GB2312" w:eastAsia="仿宋_GB2312" w:hint="eastAsia"/>
                <w:sz w:val="24"/>
                <w:szCs w:val="24"/>
              </w:rPr>
            </w:pPr>
            <w:r>
              <w:rPr>
                <w:rFonts w:ascii="仿宋_GB2312" w:eastAsia="仿宋_GB2312" w:hint="eastAsia"/>
                <w:sz w:val="24"/>
                <w:szCs w:val="24"/>
              </w:rPr>
              <w:t>改革方向针对性越强、措施越得力，得分越高。</w:t>
            </w:r>
          </w:p>
        </w:tc>
        <w:tc>
          <w:tcPr>
            <w:tcW w:w="1498" w:type="dxa"/>
            <w:vAlign w:val="center"/>
          </w:tcPr>
          <w:p w:rsidR="000B172E" w:rsidRDefault="000B172E" w:rsidP="00415FF4">
            <w:pPr>
              <w:spacing w:line="360" w:lineRule="exact"/>
              <w:jc w:val="center"/>
              <w:rPr>
                <w:rFonts w:ascii="仿宋_GB2312" w:eastAsia="仿宋_GB2312" w:hint="eastAsia"/>
                <w:sz w:val="24"/>
                <w:szCs w:val="24"/>
              </w:rPr>
            </w:pPr>
            <w:r>
              <w:rPr>
                <w:rFonts w:ascii="仿宋_GB2312" w:eastAsia="仿宋_GB2312" w:hint="eastAsia"/>
                <w:sz w:val="24"/>
                <w:szCs w:val="24"/>
              </w:rPr>
              <w:t>0-</w:t>
            </w:r>
            <w:r>
              <w:rPr>
                <w:rFonts w:ascii="仿宋_GB2312" w:eastAsia="仿宋_GB2312"/>
                <w:sz w:val="24"/>
                <w:szCs w:val="24"/>
              </w:rPr>
              <w:t>5</w:t>
            </w:r>
            <w:r>
              <w:rPr>
                <w:rFonts w:ascii="仿宋_GB2312" w:eastAsia="仿宋_GB2312" w:hint="eastAsia"/>
                <w:sz w:val="24"/>
                <w:szCs w:val="24"/>
              </w:rPr>
              <w:t>分</w:t>
            </w:r>
          </w:p>
        </w:tc>
      </w:tr>
    </w:tbl>
    <w:p w:rsidR="000B172E" w:rsidRDefault="000B172E" w:rsidP="000B172E">
      <w:pPr>
        <w:spacing w:line="380" w:lineRule="exact"/>
        <w:sectPr w:rsidR="000B172E">
          <w:pgSz w:w="16838" w:h="11906" w:orient="landscape"/>
          <w:pgMar w:top="1531" w:right="1531" w:bottom="1531" w:left="1531" w:header="851" w:footer="992" w:gutter="0"/>
          <w:cols w:space="720"/>
          <w:docGrid w:type="linesAndChars" w:linePitch="312"/>
        </w:sectPr>
      </w:pPr>
    </w:p>
    <w:p w:rsidR="00BE5069" w:rsidRDefault="00BE5069"/>
    <w:sectPr w:rsidR="00BE5069" w:rsidSect="00BE50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72E"/>
    <w:rsid w:val="000B172E"/>
    <w:rsid w:val="003A5528"/>
    <w:rsid w:val="00BE5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2E"/>
    <w:pPr>
      <w:widowControl w:val="0"/>
      <w:jc w:val="both"/>
    </w:pPr>
    <w:rPr>
      <w:rFonts w:ascii="Calibri" w:eastAsia="宋体" w:hAnsi="Calibri" w:cs="等线"/>
      <w:szCs w:val="21"/>
    </w:rPr>
  </w:style>
  <w:style w:type="paragraph" w:styleId="1">
    <w:name w:val="heading 1"/>
    <w:basedOn w:val="a"/>
    <w:next w:val="a"/>
    <w:link w:val="1Char"/>
    <w:uiPriority w:val="9"/>
    <w:qFormat/>
    <w:rsid w:val="000B17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172E"/>
    <w:rPr>
      <w:rFonts w:ascii="Calibri" w:eastAsia="宋体" w:hAnsi="Calibri" w:cs="等线"/>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2020-11-06T08:01:00Z</dcterms:created>
  <dcterms:modified xsi:type="dcterms:W3CDTF">2020-11-06T08:02:00Z</dcterms:modified>
</cp:coreProperties>
</file>